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III</w:t>
      </w:r>
    </w:p>
    <w:p>
      <w:pPr>
        <w:ind w:right="20"/>
        <w:spacing w:before="300" w:after="20"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 LEI GERAL DE PROTEÇÃO DE DADOS,  Lei nº 13.709/2018 - LGPD</w:t>
      </w:r>
    </w:p>
    <w:p>
      <w:pPr>
        <w:spacing w:before="20" w:after="2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br w:type="textWrapping"/>
      </w:r>
      <w:r>
        <w:rPr>
          <w:rFonts w:ascii="Calibri" w:hAnsi="Calibri" w:eastAsia="Calibri" w:cs="Calibri"/>
          <w:sz w:val="24"/>
          <w:szCs w:val="24"/>
        </w:rPr>
        <w:t xml:space="preserve"> Para fins deste edital, deverá ser levado em consideração:</w:t>
      </w:r>
    </w:p>
    <w:p>
      <w:pPr>
        <w:numPr>
          <w:ilvl w:val="0"/>
          <w:numId w:val="1"/>
        </w:numPr>
        <w:ind w:left="720" w:hanging="360"/>
        <w:spacing w:before="60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Dado Pessoal: informação relacionada a pessoa natural identificada ou identificável;</w:t>
      </w:r>
    </w:p>
    <w:p>
      <w:pPr>
        <w:numPr>
          <w:ilvl w:val="0"/>
          <w:numId w:val="1"/>
        </w:numPr>
        <w:ind w:left="720" w:hanging="36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numPr>
          <w:ilvl w:val="0"/>
          <w:numId w:val="1"/>
        </w:numPr>
        <w:ind w:left="720" w:hanging="36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numPr>
          <w:ilvl w:val="0"/>
          <w:numId w:val="1"/>
        </w:numPr>
        <w:ind w:left="720" w:hanging="36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Controlador: pessoa natural ou jurídica, de direito público ou privado, a quem competem as decisões referentes ao tratamento de dados pessoais;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>. A Secretaria de Cultura do Estado de Pernambuco (SECULT PE) informa que está amparada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2. A Secretaria de Cultura do Estado de Pernambuco (SECULT PE) informa que o tratamento dos dados coletados no formulário deste edital observará as seguintes </w:t>
      </w:r>
      <w:r>
        <w:rPr>
          <w:rFonts w:ascii="Calibri" w:hAnsi="Calibri" w:eastAsia="Calibri" w:cs="Calibri"/>
          <w:b/>
          <w:sz w:val="24"/>
          <w:szCs w:val="24"/>
          <w:u w:color="auto" w:val="single"/>
        </w:rPr>
        <w:t>FINALIDADES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2.1 A seleção de propostas de ações artísticas e culturais</w:t>
      </w:r>
      <w:r>
        <w:rPr>
          <w:rFonts w:ascii="Calibri" w:hAnsi="Calibri" w:eastAsia="Calibri" w:cs="Calibri"/>
          <w:sz w:val="24"/>
          <w:szCs w:val="24"/>
        </w:rPr>
        <w:t>, nos segmentos/linguagens de Artesanato, Artes Visuais, Audiovisual, Cultura Popular, Dança, Design, Fotografia, Gastronomia, Literatura, Moda, Música, Ópera, Patrimônio, Povos e Comunidades Tradicionais e Teatro com o objetivo de possibilitar a continuidade das atividades artístico-culturais, incentivando a sustentabilidade dos/as trabalhadores/as da cultura, por meio da inclusão, descentralização e socialização.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2.2 A análise do comportamento e dispersão de atividades e recursos pelas diversas cadeias produtivas da arte e cultura pernambucanas para fins de estudo e desenho de políticas públicas de cultura.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2.3 A análise da distribuição/representação dos diversos extratos sociais nas cadeias produtivas da arte e cultura pernambucanas para fins de estudo e desenho de políticas públicas de cultura.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A SECULT PE garantirá, de maneira imediata, caso solicitado pelo Titular de Dados, a correção, a eliminação (ressalvadas as hipóteses destacadas no Art. 16, I, II, III, IV da Lei nº 13.709/2018), a anonimização ou o bloqueio dos seus dados pessoais e sensíveis, em atendimento ao disposto na Lei nº 13.709/2018.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5. 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</w:t>
      </w:r>
      <w:r>
        <w:rPr>
          <w:rFonts w:ascii="Calibri" w:hAnsi="Calibri" w:eastAsia="Calibri" w:cs="Calibri"/>
          <w:b/>
          <w:sz w:val="24"/>
          <w:szCs w:val="24"/>
          <w:u w:color="auto" w:val="single"/>
        </w:rPr>
        <w:t>o tratamento dos dados atenderá tão somente a finalidade informada neste edital.</w:t>
      </w: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Após o tratamento dos dados, os dados pessoais e/ou sensíveis do titular serão armazenadas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spacing w:before="200" w:after="16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7.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spacing w:before="3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8. É importante esclarecer que a Lei Geral de Proteção de Dados (LGPD) protege apenas os dados pessoais relacionados à Pessoa Natural. O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spacing w:before="3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9.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1hZ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2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7606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dcterms:created xsi:type="dcterms:W3CDTF">2021-08-17T14:14:00Z</dcterms:created>
  <dcterms:modified xsi:type="dcterms:W3CDTF">2021-09-24T18:20:06Z</dcterms:modified>
</cp:coreProperties>
</file>