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IV</w:t>
      </w:r>
    </w:p>
    <w:p>
      <w:pPr>
        <w:ind w:right="-24"/>
        <w:spacing w:before="12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ind w:right="-24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COMISSÃO DE VERIFICAÇÃO DAS POLÍTICAS DE INCLUSÃO SOCIAL</w:t>
      </w:r>
    </w:p>
    <w:p>
      <w:pPr>
        <w:ind w:right="-24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322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A fim de garantir a efetividade das políticas de inclusão social indicadas no </w:t>
      </w:r>
      <w:r>
        <w:rPr>
          <w:b/>
          <w:i/>
          <w:sz w:val="24"/>
          <w:szCs w:val="24"/>
        </w:rPr>
        <w:t xml:space="preserve">item 7 </w:t>
      </w:r>
      <w:r>
        <w:rPr>
          <w:sz w:val="24"/>
          <w:szCs w:val="24"/>
        </w:rPr>
        <w:t xml:space="preserve">do edital do </w:t>
      </w:r>
      <w:r>
        <w:rPr>
          <w:b/>
          <w:sz w:val="24"/>
          <w:szCs w:val="24"/>
        </w:rPr>
        <w:t xml:space="preserve">Prêmio de Registro Audiovisual de Saberes Tradicionais e da Cultura Popular - LAB PE </w:t>
      </w:r>
      <w:r>
        <w:rPr>
          <w:sz w:val="24"/>
          <w:szCs w:val="24"/>
        </w:rPr>
        <w:t xml:space="preserve">serão instituídos neste anexo os mecanismos abaixo para evitar fraudes dos/as proponentes, a serem deliberadas pela </w:t>
      </w:r>
      <w:r>
        <w:rPr>
          <w:b/>
          <w:sz w:val="24"/>
          <w:szCs w:val="24"/>
        </w:rPr>
        <w:t xml:space="preserve">Comissão de Verificação das Políticas de Inclusão Social mediante denúncias e auditorias internas.  </w:t>
      </w:r>
      <w:r>
        <w:rPr>
          <w:sz w:val="24"/>
          <w:szCs w:val="24"/>
        </w:rPr>
      </w:r>
    </w:p>
    <w:p>
      <w:pPr>
        <w:ind w:right="-24"/>
        <w:spacing w:before="6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382" w:leader="none"/>
        </w:tabs>
        <w:rPr>
          <w:sz w:val="24"/>
          <w:szCs w:val="24"/>
        </w:rPr>
      </w:pPr>
      <w:r>
        <w:rPr>
          <w:sz w:val="24"/>
          <w:szCs w:val="24"/>
        </w:rPr>
        <w:t>No formulário de inscrição, o preenchimento dos campos dos dados cadastrais do/a proponente pessoa física, do/a representante do grupo/coletivo/comunidade ou da pessoa jurídica, trata-se do registro formal à política de inclusão social prevista no edital, em caráter autodeclaratório, devendo conter autenticidade e veracidade nas informações.</w:t>
      </w:r>
    </w:p>
    <w:p>
      <w:pPr>
        <w:ind w:right="-24"/>
        <w:spacing w:before="4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43" w:leader="none"/>
        </w:tabs>
        <w:rPr>
          <w:sz w:val="24"/>
          <w:szCs w:val="24"/>
        </w:rPr>
      </w:pPr>
      <w:r>
        <w:rPr>
          <w:sz w:val="24"/>
          <w:szCs w:val="24"/>
        </w:rPr>
        <w:t>Os possíveis casos de denúncias a fraudes, procedimentos recursais e as consequências para os/as proponentes que fizerem falsa autodeclaração para concorrer às vagas reservadas aos segmentos sociais elencados no edital serão deliberados por uma comissão representativa e especializada.</w:t>
      </w:r>
    </w:p>
    <w:p>
      <w:pPr>
        <w:ind w:right="-24"/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58" w:leader="none"/>
        </w:tabs>
        <w:rPr>
          <w:sz w:val="24"/>
          <w:szCs w:val="24"/>
        </w:rPr>
      </w:pPr>
      <w:r>
        <w:rPr>
          <w:sz w:val="24"/>
          <w:szCs w:val="24"/>
        </w:rPr>
        <w:t>A Comissão será composta por 06 (seis) membros titulares e seus/suas respectivos/as suplentes residentes no Brasil, a serem nomeados/as em portaria da Secult PE.</w:t>
      </w:r>
    </w:p>
    <w:p>
      <w:pPr>
        <w:ind w:right="-24"/>
        <w:spacing w:before="6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38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Os membros titulares e suplentes não colaboradores da Secult PE serão indicados/as por conselhos municipais, estaduais ou federais, com notório saber nas temáticas de promoção aos segmentos sociais relacionados no </w:t>
      </w:r>
      <w:r>
        <w:rPr>
          <w:b/>
          <w:i/>
          <w:sz w:val="24"/>
          <w:szCs w:val="24"/>
        </w:rPr>
        <w:t xml:space="preserve">item 7 </w:t>
      </w:r>
      <w:r>
        <w:rPr>
          <w:sz w:val="24"/>
          <w:szCs w:val="24"/>
        </w:rPr>
        <w:t>do edital.</w:t>
      </w:r>
    </w:p>
    <w:p>
      <w:pPr>
        <w:ind w:right="-24"/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02" w:leader="none"/>
        </w:tabs>
        <w:rPr>
          <w:sz w:val="24"/>
          <w:szCs w:val="24"/>
        </w:rPr>
      </w:pPr>
      <w:r>
        <w:rPr>
          <w:sz w:val="24"/>
          <w:szCs w:val="24"/>
        </w:rPr>
        <w:t>Os membros titulares e suplentes da Comissão deverão atender ao critério da diversidade por gênero, cor e, preferencialmente, naturalidade, com composição de, no mínimo:</w:t>
      </w:r>
    </w:p>
    <w:p>
      <w:pPr>
        <w:ind w:right="-24"/>
        <w:spacing w:before="36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a) 01 (uma) pessoa preta, parda ou indígena; </w:t>
      </w:r>
    </w:p>
    <w:p>
      <w:pPr>
        <w:ind w:right="-24"/>
        <w:spacing w:before="2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b) 01 (uma) mulher; </w:t>
      </w:r>
    </w:p>
    <w:p>
      <w:pPr>
        <w:ind w:right="-24"/>
        <w:spacing w:before="2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d) 01 (uma) pessoa com deficiência; </w:t>
      </w:r>
    </w:p>
    <w:p>
      <w:pPr>
        <w:ind w:right="-24"/>
        <w:spacing w:before="2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e) 01 (uma) pessoa cuja identidade não seja cisgênera; </w:t>
      </w:r>
    </w:p>
    <w:p>
      <w:pPr>
        <w:ind w:right="-24"/>
        <w:spacing w:before="2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>f) 01 (uma) pessoa indicada pela Secult PE;</w:t>
      </w:r>
    </w:p>
    <w:p>
      <w:pPr>
        <w:ind w:right="-24"/>
        <w:spacing w:before="20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  <w:t>g) 01 (uma) pessoa de povos ou comunidades tradicionais.</w:t>
      </w:r>
    </w:p>
    <w:p>
      <w:pPr>
        <w:ind w:right="-24"/>
        <w:spacing w:before="43" w:line="276" w:lineRule="auto"/>
        <w:jc w:val="both"/>
        <w:tabs defTabSz="720">
          <w:tab w:val="left" w:pos="388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  <w:t>Os currículos dos membros da comissão deverão ser publicados no portal Cultura. PE (</w:t>
      </w:r>
      <w:r>
        <w:rPr>
          <w:b/>
          <w:i/>
          <w:sz w:val="24"/>
          <w:szCs w:val="24"/>
        </w:rPr>
        <w:t>www.cultura.pe.gov.br</w:t>
      </w:r>
      <w:r>
        <w:rPr>
          <w:sz w:val="24"/>
          <w:szCs w:val="24"/>
        </w:rPr>
        <w:t>).</w:t>
      </w:r>
    </w:p>
    <w:p>
      <w:pPr>
        <w:ind w:right="-24"/>
        <w:spacing w:before="4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72" w:leader="none"/>
        </w:tabs>
        <w:rPr>
          <w:sz w:val="24"/>
          <w:szCs w:val="24"/>
        </w:rPr>
      </w:pPr>
      <w:r>
        <w:rPr>
          <w:sz w:val="24"/>
          <w:szCs w:val="24"/>
        </w:rPr>
        <w:t>O membro indicado pela Secult PE presidirá a comissão.</w:t>
      </w:r>
    </w:p>
    <w:p>
      <w:pPr>
        <w:ind w:left="139" w:right="-24"/>
        <w:spacing w:line="276" w:lineRule="auto"/>
        <w:jc w:val="both"/>
        <w:tabs defTabSz="720">
          <w:tab w:val="left" w:pos="572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72" w:leader="none"/>
        </w:tabs>
        <w:rPr>
          <w:sz w:val="24"/>
          <w:szCs w:val="24"/>
        </w:rPr>
      </w:pPr>
      <w:r>
        <w:rPr>
          <w:sz w:val="24"/>
          <w:szCs w:val="24"/>
        </w:rPr>
        <w:t>Caso a Comissão não seja constituída como previsto ou haja impossibilidade de participação de um/a dos/as elencados/as, a justificativa da ausência será registrada em ata, sem prejuízo da continuidade dos trabalhos.</w:t>
      </w:r>
    </w:p>
    <w:p>
      <w:pPr>
        <w:ind w:right="-24"/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392" w:leader="none"/>
        </w:tabs>
        <w:rPr>
          <w:sz w:val="24"/>
          <w:szCs w:val="24"/>
        </w:rPr>
      </w:pPr>
      <w:r>
        <w:rPr>
          <w:sz w:val="24"/>
          <w:szCs w:val="24"/>
        </w:rPr>
        <w:t>Os/As proponentes poderão ser convocados/as para uma entrevista on-line através do e-mail informado no formulário de inscrição, podendo ser desclassificados/as por ausência na segunda chamada formal.</w:t>
      </w:r>
    </w:p>
    <w:p>
      <w:pPr>
        <w:ind w:right="-24"/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before="1" w:line="276" w:lineRule="auto"/>
        <w:jc w:val="both"/>
        <w:tabs defTabSz="720">
          <w:tab w:val="left" w:pos="524" w:leader="none"/>
        </w:tabs>
        <w:rPr>
          <w:sz w:val="24"/>
          <w:szCs w:val="24"/>
        </w:rPr>
      </w:pPr>
      <w:r>
        <w:rPr>
          <w:sz w:val="24"/>
          <w:szCs w:val="24"/>
        </w:rPr>
        <w:t>As entrevistas ocorrerão por videoconferência, devendo ser registradas para eventuais recursos.</w:t>
      </w:r>
    </w:p>
    <w:p>
      <w:pPr>
        <w:ind w:right="-24"/>
        <w:spacing w:before="4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09" w:leader="none"/>
        </w:tabs>
        <w:rPr>
          <w:sz w:val="24"/>
          <w:szCs w:val="24"/>
        </w:rPr>
      </w:pPr>
      <w:r>
        <w:rPr>
          <w:sz w:val="24"/>
          <w:szCs w:val="24"/>
        </w:rPr>
        <w:t>Os critérios a serem abordados nas deliberações da Comissão envolverão a análise do fenótipo do/a proponente em procedimento de heteroidentificação complementar, ou de perguntas que levem em conta as características observáveis e o histórico do indivíduo, desde que seja respeitada a dignidade da pessoa humana e a garantia de padronização e de igualdade de tratamento entre os/as proponentes.</w:t>
      </w:r>
    </w:p>
    <w:p>
      <w:pPr>
        <w:ind w:right="-24"/>
        <w:spacing w:before="6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82" w:leader="none"/>
        </w:tabs>
        <w:rPr>
          <w:sz w:val="24"/>
          <w:szCs w:val="24"/>
        </w:rPr>
      </w:pPr>
      <w:r>
        <w:rPr>
          <w:sz w:val="24"/>
          <w:szCs w:val="24"/>
        </w:rPr>
        <w:t>Os membros da Comissão assinarão termo de confidencialidade e sigilo sobre as informações pessoais dos/as proponentes a que tiverem acesso durante o procedimento de heteroidentificação complementar e entrevista.</w:t>
      </w:r>
    </w:p>
    <w:p>
      <w:pPr>
        <w:ind w:right="-24"/>
        <w:spacing w:before="3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before="1" w:line="276" w:lineRule="auto"/>
        <w:jc w:val="both"/>
        <w:tabs defTabSz="720">
          <w:tab w:val="left" w:pos="575" w:leader="none"/>
        </w:tabs>
        <w:rPr>
          <w:sz w:val="24"/>
          <w:szCs w:val="24"/>
        </w:rPr>
      </w:pPr>
      <w:r>
        <w:rPr>
          <w:sz w:val="24"/>
          <w:szCs w:val="24"/>
        </w:rPr>
        <w:t>A presunção relativa de veracidade de que goza a autodeclaração do/a proponente prevalecerá em caso de dúvida razoável a respeito de seu fenótipo, características ou histórico.</w:t>
      </w:r>
    </w:p>
    <w:p>
      <w:pPr>
        <w:ind w:right="-24"/>
        <w:spacing w:before="5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28" w:leader="none"/>
        </w:tabs>
        <w:rPr>
          <w:sz w:val="24"/>
          <w:szCs w:val="24"/>
        </w:rPr>
      </w:pPr>
      <w:r>
        <w:rPr>
          <w:sz w:val="24"/>
          <w:szCs w:val="24"/>
        </w:rPr>
        <w:t>Na hipótese de constatação de declaração falsa, a proposta do/a proponente será desclassificada do edital e, se houver sido contemplada, ficará sujeita à anulação da sua aprovação, independente da alegação de boa fé.</w:t>
      </w:r>
    </w:p>
    <w:p>
      <w:pPr>
        <w:ind w:right="-24"/>
        <w:spacing w:before="6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577" w:leader="none"/>
        </w:tabs>
        <w:rPr>
          <w:sz w:val="24"/>
          <w:szCs w:val="24"/>
        </w:rPr>
      </w:pPr>
      <w:r>
        <w:rPr>
          <w:sz w:val="24"/>
          <w:szCs w:val="24"/>
        </w:rPr>
        <w:t>A Comissão não deliberará o resultado na presença dos/as proponentes.</w:t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704" w:leader="none"/>
        </w:tabs>
        <w:rPr>
          <w:sz w:val="24"/>
          <w:szCs w:val="24"/>
        </w:rPr>
      </w:pPr>
      <w:r>
        <w:rPr>
          <w:sz w:val="24"/>
          <w:szCs w:val="24"/>
        </w:rPr>
        <w:t>Será garantido o direito ao contraditório e ampla defesa do/a proponente, podendo recorrer à decisão da Comissão, sendo deliberados os recursos pelos membros suplentes.</w:t>
      </w:r>
    </w:p>
    <w:p>
      <w:pPr>
        <w:ind w:right="-24"/>
        <w:spacing w:before="4"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783" w:leader="none"/>
        </w:tabs>
        <w:rPr>
          <w:sz w:val="24"/>
          <w:szCs w:val="24"/>
        </w:rPr>
      </w:pPr>
      <w:r>
        <w:rPr>
          <w:sz w:val="24"/>
          <w:szCs w:val="24"/>
        </w:rPr>
        <w:t>Em suas decisões, a Comissão recursal deverá considerar a filmagem do procedimento.</w:t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0" w:right="-24" w:firstLine="0"/>
        <w:spacing w:line="276" w:lineRule="auto"/>
        <w:jc w:val="both"/>
        <w:tabs defTabSz="720">
          <w:tab w:val="left" w:pos="642" w:leader="none"/>
        </w:tabs>
        <w:rPr>
          <w:sz w:val="24"/>
          <w:szCs w:val="24"/>
        </w:rPr>
      </w:pPr>
      <w:r>
        <w:rPr>
          <w:sz w:val="24"/>
          <w:szCs w:val="24"/>
        </w:rPr>
        <w:t>O resultado dos recursos será publicado no Mapa Cultural de Pernambuco (</w:t>
      </w:r>
      <w:hyperlink r:id="rId8" w:history="1">
        <w:r>
          <w:rPr>
            <w:b/>
            <w:i/>
            <w:sz w:val="24"/>
            <w:szCs w:val="24"/>
          </w:rPr>
          <w:t>www.mapacultural.pe.gov.br</w:t>
        </w:r>
      </w:hyperlink>
      <w:r>
        <w:rPr>
          <w:sz w:val="24"/>
          <w:szCs w:val="24"/>
        </w:rPr>
        <w:t>) e no portal Cultura.PE (</w:t>
      </w:r>
      <w:r>
        <w:rPr>
          <w:b/>
          <w:i/>
          <w:sz w:val="24"/>
          <w:szCs w:val="24"/>
        </w:rPr>
        <w:t>www.cultura.pe.gov.br</w:t>
      </w:r>
      <w:r>
        <w:rPr>
          <w:sz w:val="24"/>
          <w:szCs w:val="24"/>
        </w:rPr>
        <w:t>)</w:t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right="-24"/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9"/>
      <w:footerReference w:type="default" r:id="rId10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uiN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2"/>
    <w:tmLastPosSelect w:val="0"/>
    <w:tmLastPosFrameIdx w:val="0"/>
    <w:tmLastPosCaret>
      <w:tmLastPosPgfIdx w:val="5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32510906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IV COMISSÃO DE VERIFICAÇÃO DAS POLITICAS DE INCLUSÃO SOCIAL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://www.mapacultural.pe.gov.b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2021-09-24T19:14:47Z</cp:lastPrinted>
  <dcterms:created xsi:type="dcterms:W3CDTF">2021-08-20T03:29:00Z</dcterms:created>
  <dcterms:modified xsi:type="dcterms:W3CDTF">2021-09-24T19:15:06Z</dcterms:modified>
</cp:coreProperties>
</file>