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header1.xml" ContentType="application/vnd.openxmlformats-officedocument.wordprocessingml.header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380"/>
        <w:jc w:val="center"/>
        <w:widowControl w:val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EDITAL CRIAÇÃO, FRUIÇÃO E DIFUSÃO LAB PE - 2ª EDIÇÃO</w:t>
      </w:r>
    </w:p>
    <w:p>
      <w:pPr>
        <w:spacing w:before="303"/>
        <w:jc w:val="center"/>
        <w:widowControl w:val="0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ANEXO V</w:t>
      </w:r>
    </w:p>
    <w:p>
      <w:pPr>
        <w:spacing w:before="303"/>
        <w:jc w:val="center"/>
        <w:widowControl w:val="0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 xml:space="preserve">COMISSÃO DE VERIFICAÇÃO DAS POLÍTICAS DE INCLUSÃO SOCIAL </w:t>
      </w:r>
    </w:p>
    <w:p>
      <w:pPr>
        <w:spacing/>
        <w:jc w:val="center"/>
        <w:widowControl w:val="0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</w:r>
    </w:p>
    <w:p>
      <w:pPr>
        <w:spacing w:before="308"/>
        <w:jc w:val="both"/>
        <w:widowControl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I. A fim de garantir a efetividade das políticas de inclusão social indicadas no </w:t>
      </w:r>
      <w:r>
        <w:rPr>
          <w:rFonts w:ascii="Calibri" w:hAnsi="Calibri" w:eastAsia="Calibri" w:cs="Calibri"/>
          <w:b/>
          <w:sz w:val="24"/>
          <w:szCs w:val="24"/>
        </w:rPr>
        <w:t xml:space="preserve">item 7 </w:t>
      </w:r>
      <w:r>
        <w:rPr>
          <w:rFonts w:ascii="Calibri" w:hAnsi="Calibri" w:eastAsia="Calibri" w:cs="Calibri"/>
          <w:sz w:val="24"/>
          <w:szCs w:val="24"/>
        </w:rPr>
        <w:t xml:space="preserve">do edital </w:t>
      </w:r>
      <w:r>
        <w:rPr>
          <w:rFonts w:ascii="Calibri" w:hAnsi="Calibri" w:eastAsia="Calibri" w:cs="Calibri"/>
          <w:b/>
          <w:sz w:val="24"/>
          <w:szCs w:val="24"/>
        </w:rPr>
        <w:t>CRIAÇÃO, FRUIÇÃO E DIFUSÃO LAB PE - 2ª Edição</w:t>
      </w:r>
      <w:r>
        <w:rPr>
          <w:rFonts w:ascii="Calibri" w:hAnsi="Calibri" w:eastAsia="Calibri" w:cs="Calibri"/>
          <w:sz w:val="24"/>
          <w:szCs w:val="24"/>
        </w:rPr>
        <w:t xml:space="preserve">, serão instituídos neste anexo os  mecanismos abaixo para evitar fraudes dos/das proponentes, a serem deliberadas pela  </w:t>
      </w:r>
      <w:r>
        <w:rPr>
          <w:rFonts w:ascii="Calibri" w:hAnsi="Calibri" w:eastAsia="Calibri" w:cs="Calibri"/>
          <w:b/>
          <w:sz w:val="24"/>
          <w:szCs w:val="24"/>
        </w:rPr>
        <w:t>Comissão de Verificação das Políticas de Inclusão Social</w:t>
      </w:r>
      <w:r>
        <w:rPr>
          <w:rFonts w:ascii="Calibri" w:hAnsi="Calibri" w:eastAsia="Calibri" w:cs="Calibri"/>
          <w:sz w:val="24"/>
          <w:szCs w:val="24"/>
        </w:rPr>
        <w:t xml:space="preserve"> mediante denúncias e auditorias internas.  </w:t>
      </w:r>
    </w:p>
    <w:p>
      <w:pPr>
        <w:spacing w:before="306"/>
        <w:jc w:val="both"/>
        <w:widowControl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II. No formulário de inscrição, o preenchimento dos campos dos dados cadastrais do/da proponente pessoa física, do/da representante do grupo/coletivo ou da pessoa jurídica, trata-se do registro formal à política de inclusão social prevista no edital, em caráter autodeclaratório, devendo conter autenticidade e veracidade nas informações. </w:t>
      </w:r>
    </w:p>
    <w:p>
      <w:pPr>
        <w:spacing w:before="306"/>
        <w:jc w:val="both"/>
        <w:widowControl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III. Os possíveis casos de denúncias a fraudes, procedimentos recursais, e as consequências para os/as proponentes que fizerem falsa autodeclaração para concorrer às vagas reservadas aos segmentos sociais elencados no edital, serão deliberados por uma comissão representativa e especializada. </w:t>
      </w:r>
    </w:p>
    <w:p>
      <w:pPr>
        <w:spacing w:before="306"/>
        <w:jc w:val="both"/>
        <w:widowControl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IV. A Comissão será composta por 06 (seis) membros titulares e seus respectivos suplentes residentes no Brasil, a serem nomeados/as em portaria da Secult PE. </w:t>
      </w:r>
    </w:p>
    <w:p>
      <w:pPr>
        <w:spacing w:before="304"/>
        <w:jc w:val="both"/>
        <w:widowControl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V. Os membros titulares e suplentes não colaboradores da Secult PE serão indicados por conselhos municipais, estaduais ou federais, com notório saber nas temáticas de promoção aos segmentos sociais relacionados no </w:t>
      </w:r>
      <w:r>
        <w:rPr>
          <w:rFonts w:ascii="Calibri" w:hAnsi="Calibri" w:eastAsia="Calibri" w:cs="Calibri"/>
          <w:b/>
          <w:sz w:val="24"/>
          <w:szCs w:val="24"/>
        </w:rPr>
        <w:t xml:space="preserve">item 7 </w:t>
      </w:r>
      <w:r>
        <w:rPr>
          <w:rFonts w:ascii="Calibri" w:hAnsi="Calibri" w:eastAsia="Calibri" w:cs="Calibri"/>
          <w:sz w:val="24"/>
          <w:szCs w:val="24"/>
        </w:rPr>
        <w:t xml:space="preserve">do Edital. </w:t>
      </w:r>
    </w:p>
    <w:p>
      <w:pPr>
        <w:spacing w:before="306"/>
        <w:jc w:val="both"/>
        <w:widowControl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VI. Os membros titulares e suplentes da Comissão deverão atender ao critério da diversidade por gênero, cor e, preferencialmente, naturalidade, com composição de, no  mínimo:  </w:t>
      </w:r>
    </w:p>
    <w:p>
      <w:pPr>
        <w:spacing w:before="350"/>
        <w:widowControl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a) 01 (uma) pessoa preta, parda ou indígena; </w:t>
      </w:r>
    </w:p>
    <w:p>
      <w:pPr>
        <w:spacing w:before="12"/>
        <w:widowControl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b) 01 (uma) mulher; </w:t>
      </w:r>
    </w:p>
    <w:p>
      <w:pPr>
        <w:spacing w:before="11"/>
        <w:widowControl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d) 01 (uma) pessoa com deficiência; </w:t>
      </w:r>
    </w:p>
    <w:p>
      <w:pPr>
        <w:spacing w:before="15"/>
        <w:widowControl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e) 01 (uma) pessoa cuja identidade não seja cisgênera; </w:t>
      </w:r>
    </w:p>
    <w:p>
      <w:pPr>
        <w:spacing w:before="11"/>
        <w:widowControl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f) 01 (uma) pessoa indicada pela Secult/PE;</w:t>
      </w:r>
    </w:p>
    <w:p>
      <w:pPr>
        <w:spacing w:before="11"/>
        <w:widowControl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g) 01 (uma) pessoa de povos ou comunidades tradicionais.</w:t>
      </w:r>
    </w:p>
    <w:p>
      <w:pPr>
        <w:spacing w:before="303"/>
        <w:widowControl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VII. Os currículos dos membros da Comissão deverão ser publicados no portal cultura PE  (www.cultura.pe.gov.br). </w:t>
      </w:r>
    </w:p>
    <w:p>
      <w:pPr>
        <w:spacing w:before="305"/>
        <w:widowControl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VIII. O membro indicado pela Secult PE presidirá a comissão.</w:t>
      </w:r>
    </w:p>
    <w:p>
      <w:pPr>
        <w:spacing/>
        <w:jc w:val="both"/>
        <w:widowControl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IX. Caso a Comissão não seja constituída como previsto ou haja impossibilidade de participação de um dos elencados, a justificativa da ausência será registrada em ata, sem prejuízo da continuidade dos trabalhos. </w:t>
      </w:r>
    </w:p>
    <w:p>
      <w:pPr>
        <w:spacing w:before="312"/>
        <w:jc w:val="both"/>
        <w:widowControl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X. Os/As proponentes poderão ser convocados/as para uma entrevista on-line através do e-mail informado no formulário de inscrição, podendo ser desclassificados por ausência na segunda chamada formal. </w:t>
      </w:r>
    </w:p>
    <w:p>
      <w:pPr>
        <w:spacing w:before="312"/>
        <w:widowControl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XI. As entrevistas ocorrerão por videoconferência, devendo ser registradas para eventuais recursos. </w:t>
      </w:r>
    </w:p>
    <w:p>
      <w:pPr>
        <w:spacing w:before="308"/>
        <w:jc w:val="both"/>
        <w:widowControl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XII. Os critérios a serem abordados nas deliberações da omissão envolverão a análise do fenótipo do/a proponente em procedimento de heteroidentificação complementar, ou de perguntas que levem em conta as características observáveis e o histórico do  indivíduo, desde que seja respeitada a dignidade da pessoa humana e a garantia de  padronização e de igualdade de tratamento entre os/as proponentes.  </w:t>
      </w:r>
    </w:p>
    <w:p>
      <w:pPr>
        <w:spacing w:before="311"/>
        <w:jc w:val="both"/>
        <w:widowControl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XIII. Os membros da Comissão assinarão termo de confidencialidade e sigilo sobre as informações pessoais dos/as proponentes a que tiverem acesso durante o procedimento de heteroidentificação complementar e entrevista. </w:t>
      </w:r>
    </w:p>
    <w:p>
      <w:pPr>
        <w:spacing w:before="311"/>
        <w:jc w:val="both"/>
        <w:widowControl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XIV. A presunção relativa de veracidade de que goza a autodeclaração do/a proponente prevalecerá em caso de dúvida razoável a respeito de seu fenótipo, características ou histórico. </w:t>
      </w:r>
    </w:p>
    <w:p>
      <w:pPr>
        <w:spacing w:before="312"/>
        <w:jc w:val="both"/>
        <w:widowControl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XV. Na hipótese de constatação de declaração falsa, a proposta do/a proponente será desclassificada do edital e, se houver sido contemplada, ficará sujeita à anulação da sua aprovação, independente da alegação de boa fé. </w:t>
      </w:r>
    </w:p>
    <w:p>
      <w:pPr>
        <w:spacing w:before="308"/>
        <w:widowControl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XVI. A Comissão não deliberará o resultado na presença dos/as proponentes. </w:t>
      </w:r>
    </w:p>
    <w:p>
      <w:pPr>
        <w:spacing w:before="352"/>
        <w:jc w:val="both"/>
        <w:widowControl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XVII. Será garantido o direito ao contraditório e ampla defesa do/a proponente, podendo recorrer à decisão da Comissão, sendo deliberados os recursos pelos membros  suplentes. </w:t>
      </w:r>
    </w:p>
    <w:p>
      <w:pPr>
        <w:spacing w:before="312"/>
        <w:widowControl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XVIII. Em suas decisões, a Comissão Recursal deverá considerar a filmagem do procedimento. </w:t>
      </w:r>
    </w:p>
    <w:p>
      <w:pPr>
        <w:spacing w:before="347"/>
        <w:widowControl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XIX. O resultado dos recursos será publicado na Plataforma Mapa Cultural de Pernambuco  (www.mapacultural.pe.gov.br).</w:t>
      </w:r>
    </w:p>
    <w:p>
      <w:pPr>
        <w:spacing w:before="303"/>
        <w:jc w:val="center"/>
        <w:widowControl w:val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</w:r>
    </w:p>
    <w:p>
      <w:pPr>
        <w:spacing w:before="303"/>
        <w:jc w:val="center"/>
        <w:widowControl w:val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</w:r>
    </w:p>
    <w:p>
      <w:pPr>
        <w:spacing w:before="303"/>
        <w:widowControl w:val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headerReference w:type="default" r:id="rId8"/>
      <w:type w:val="nextPage"/>
      <w:pgSz w:h="16840" w:w="11900"/>
      <w:pgMar w:left="978" w:top="708" w:right="964" w:bottom="992" w:header="0" w:footer="0"/>
      <w:paperSrc w:first="0" w:other="0"/>
      <w:pgNumType w:fmt="decimal" w:start="1"/>
      <w:tmGutter w:val="3"/>
      <w:mirrorMargins w:val="0"/>
      <w:tmSection w:h="-2">
        <w:tmHeader w:id="0" w:h="0" edge="0" text="0">
          <w:shd w:val="none"/>
        </w:tmHeader>
      </w:tmSection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asic Roman">
    <w:charset w:val="00"/>
    <w:family w:val="roman"/>
    <w:pitch w:val="default"/>
  </w:font>
  <w:font w:name="Basic Sans">
    <w:charset w:val="00"/>
    <w:family w:val="roman"/>
    <w:pitch w:val="default"/>
  </w:font>
  <w:font w:name="Arial">
    <w:charset w:val="00"/>
    <w:family w:val="swiss"/>
    <w:pitch w:val="default"/>
  </w:font>
  <w:font w:name="Georgia">
    <w:charset w:val="00"/>
    <w:family w:val="auto"/>
    <w:pitch w:val="default"/>
  </w:font>
  <w:font w:name="Calibri">
    <w:charset w:val="00"/>
    <w:family w:val="swiss"/>
    <w:pitch w:val="default"/>
  </w:font>
  <w:font w:name="Times New Roman">
    <w:charset w:val="00"/>
    <w:family w:val="roman"/>
    <w:pitch w:val="default"/>
  </w:font>
  <w:font w:name="Courier New">
    <w:charset w:val="00"/>
    <w:family w:val="modern"/>
    <w:pitch w:val="default"/>
  </w:font>
  <w:font w:name="Roboto">
    <w:charset w:val="00"/>
    <w:family w:val="auto"/>
    <w:pitch w:val="default"/>
  </w:font>
  <w:font w:name="Noto Sans Symbols">
    <w:charset w:val="00"/>
    <w:family w:val="auto"/>
    <w:pitch w:val="default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spacing/>
      <w:jc w:val="center"/>
    </w:pPr>
    <w:r>
      <w:rPr>
        <w:noProof/>
      </w:rPr>
      <w:drawing>
        <wp:inline distT="114300" distB="114300" distL="114300" distR="114300">
          <wp:extent cx="3505200" cy="8255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extLst>
                      <a:ext uri="smNativeData">
                        <sm:smNativeData xmlns:sm="smNativeData" val="SMDATA_14_GxdOYR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XoAAAAAAAAAAAAAAAAAAAAAAAAAAAAAAAAAAAAAAAAAAAAACQFQAAFAUAAAAAAAAAAAAAAAAAACgAAAAIAAAAAQAAAAEAAAA=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05200" cy="8255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Lista numerada 1"/>
    <w:lvl w:ilvl="0">
      <w:numFmt w:val="bullet"/>
      <w:suff w:val="tab"/>
      <w:lvlText w:val="●"/>
      <w:lvlJc w:val="left"/>
      <w:pPr>
        <w:ind w:left="360" w:hanging="0"/>
      </w:pPr>
      <w:rPr>
        <w:rFonts w:ascii="Noto Sans Symbols" w:hAnsi="Noto Sans Symbols" w:eastAsia="Noto Sans Symbols" w:cs="Noto Sans Symbols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eastAsia="Courier New" w:cs="Courier New"/>
      </w:rPr>
    </w:lvl>
    <w:lvl w:ilvl="2">
      <w:numFmt w:val="bullet"/>
      <w:suff w:val="tab"/>
      <w:lvlText w:val="▪"/>
      <w:lvlJc w:val="left"/>
      <w:pPr>
        <w:ind w:left="1800" w:hanging="0"/>
      </w:pPr>
      <w:rPr>
        <w:rFonts w:ascii="Noto Sans Symbols" w:hAnsi="Noto Sans Symbols" w:eastAsia="Noto Sans Symbols" w:cs="Noto Sans Symbols"/>
      </w:rPr>
    </w:lvl>
    <w:lvl w:ilvl="3">
      <w:numFmt w:val="bullet"/>
      <w:suff w:val="tab"/>
      <w:lvlText w:val="●"/>
      <w:lvlJc w:val="left"/>
      <w:pPr>
        <w:ind w:left="2520" w:hanging="0"/>
      </w:pPr>
      <w:rPr>
        <w:rFonts w:ascii="Noto Sans Symbols" w:hAnsi="Noto Sans Symbols" w:eastAsia="Noto Sans Symbols" w:cs="Noto Sans Symbols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eastAsia="Courier New" w:cs="Courier New"/>
      </w:rPr>
    </w:lvl>
    <w:lvl w:ilvl="5">
      <w:numFmt w:val="bullet"/>
      <w:suff w:val="tab"/>
      <w:lvlText w:val="▪"/>
      <w:lvlJc w:val="left"/>
      <w:pPr>
        <w:ind w:left="3960" w:hanging="0"/>
      </w:pPr>
      <w:rPr>
        <w:rFonts w:ascii="Noto Sans Symbols" w:hAnsi="Noto Sans Symbols" w:eastAsia="Noto Sans Symbols" w:cs="Noto Sans Symbols"/>
      </w:rPr>
    </w:lvl>
    <w:lvl w:ilvl="6">
      <w:numFmt w:val="bullet"/>
      <w:suff w:val="tab"/>
      <w:lvlText w:val="●"/>
      <w:lvlJc w:val="left"/>
      <w:pPr>
        <w:ind w:left="4680" w:hanging="0"/>
      </w:pPr>
      <w:rPr>
        <w:rFonts w:ascii="Noto Sans Symbols" w:hAnsi="Noto Sans Symbols" w:eastAsia="Noto Sans Symbols" w:cs="Noto Sans Symbols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eastAsia="Courier New" w:cs="Courier New"/>
      </w:rPr>
    </w:lvl>
    <w:lvl w:ilvl="8">
      <w:numFmt w:val="bullet"/>
      <w:suff w:val="tab"/>
      <w:lvlText w:val="▪"/>
      <w:lvlJc w:val="left"/>
      <w:pPr>
        <w:ind w:left="6120" w:hanging="0"/>
      </w:pPr>
      <w:rPr>
        <w:rFonts w:ascii="Noto Sans Symbols" w:hAnsi="Noto Sans Symbols" w:eastAsia="Noto Sans Symbols" w:cs="Noto Sans Symbols"/>
      </w:rPr>
    </w:lvl>
  </w:abstractNum>
  <w:abstractNum w:abstractNumId="2">
    <w:multiLevelType w:val="hybridMultilevel"/>
    <w:name w:val="Lista numerada 2"/>
    <w:lvl w:ilvl="0">
      <w:start w:val="1"/>
      <w:numFmt w:val="decimal"/>
      <w:suff w:val="tab"/>
      <w:lvlText w:val="%1."/>
      <w:lvlJc w:val="left"/>
      <w:pPr>
        <w:ind w:left="360" w:hanging="0"/>
      </w:pPr>
      <w:rPr>
        <w:u w:color="auto" w:val="none"/>
      </w:rPr>
    </w:lvl>
    <w:lvl w:ilvl="1">
      <w:start w:val="1"/>
      <w:numFmt w:val="lowerLetter"/>
      <w:suff w:val="tab"/>
      <w:lvlText w:val="%2."/>
      <w:lvlJc w:val="left"/>
      <w:pPr>
        <w:ind w:left="1080" w:hanging="0"/>
      </w:pPr>
      <w:rPr>
        <w:u w:color="auto" w:val="none"/>
      </w:rPr>
    </w:lvl>
    <w:lvl w:ilvl="2">
      <w:start w:val="1"/>
      <w:numFmt w:val="lowerRoman"/>
      <w:suff w:val="tab"/>
      <w:lvlText w:val="%3."/>
      <w:lvlJc w:val="left"/>
      <w:pPr>
        <w:ind w:left="1800" w:hanging="0"/>
      </w:pPr>
      <w:rPr>
        <w:u w:color="auto" w:val="none"/>
      </w:rPr>
    </w:lvl>
    <w:lvl w:ilvl="3">
      <w:start w:val="1"/>
      <w:numFmt w:val="decimal"/>
      <w:suff w:val="tab"/>
      <w:lvlText w:val="%4."/>
      <w:lvlJc w:val="left"/>
      <w:pPr>
        <w:ind w:left="2520" w:hanging="0"/>
      </w:pPr>
      <w:rPr>
        <w:u w:color="auto" w:val="none"/>
      </w:rPr>
    </w:lvl>
    <w:lvl w:ilvl="4">
      <w:start w:val="1"/>
      <w:numFmt w:val="lowerLetter"/>
      <w:suff w:val="tab"/>
      <w:lvlText w:val="%5."/>
      <w:lvlJc w:val="left"/>
      <w:pPr>
        <w:ind w:left="3240" w:hanging="0"/>
      </w:pPr>
      <w:rPr>
        <w:u w:color="auto" w:val="none"/>
      </w:rPr>
    </w:lvl>
    <w:lvl w:ilvl="5">
      <w:start w:val="1"/>
      <w:numFmt w:val="lowerRoman"/>
      <w:suff w:val="tab"/>
      <w:lvlText w:val="%6."/>
      <w:lvlJc w:val="left"/>
      <w:pPr>
        <w:ind w:left="3960" w:hanging="0"/>
      </w:pPr>
      <w:rPr>
        <w:u w:color="auto" w:val="none"/>
      </w:rPr>
    </w:lvl>
    <w:lvl w:ilvl="6">
      <w:start w:val="1"/>
      <w:numFmt w:val="decimal"/>
      <w:suff w:val="tab"/>
      <w:lvlText w:val="%7."/>
      <w:lvlJc w:val="left"/>
      <w:pPr>
        <w:ind w:left="4680" w:hanging="0"/>
      </w:pPr>
      <w:rPr>
        <w:u w:color="auto" w:val="none"/>
      </w:rPr>
    </w:lvl>
    <w:lvl w:ilvl="7">
      <w:start w:val="1"/>
      <w:numFmt w:val="lowerLetter"/>
      <w:suff w:val="tab"/>
      <w:lvlText w:val="%8."/>
      <w:lvlJc w:val="left"/>
      <w:pPr>
        <w:ind w:left="5400" w:hanging="0"/>
      </w:pPr>
      <w:rPr>
        <w:u w:color="auto" w:val="none"/>
      </w:rPr>
    </w:lvl>
    <w:lvl w:ilvl="8">
      <w:start w:val="1"/>
      <w:numFmt w:val="lowerRoman"/>
      <w:suff w:val="tab"/>
      <w:lvlText w:val="%9."/>
      <w:lvlJc w:val="left"/>
      <w:pPr>
        <w:ind w:left="6120" w:hanging="0"/>
      </w:pPr>
      <w:rPr>
        <w:u w:color="auto" w:val="none"/>
      </w:rPr>
    </w:lvl>
  </w:abstractNum>
  <w:abstractNum w:abstractNumId="3">
    <w:multiLevelType w:val="hybridMultilevel"/>
    <w:name w:val="Lista numerada 3"/>
    <w:lvl w:ilvl="0">
      <w:start w:val="1"/>
      <w:numFmt w:val="lowerLetter"/>
      <w:suff w:val="tab"/>
      <w:lvlText w:val="%1)"/>
      <w:lvlJc w:val="left"/>
      <w:pPr>
        <w:ind w:left="360" w:hanging="0"/>
      </w:pPr>
      <w:rPr>
        <w:u w:color="auto" w:val="none"/>
      </w:rPr>
    </w:lvl>
    <w:lvl w:ilvl="1">
      <w:start w:val="1"/>
      <w:numFmt w:val="lowerRoman"/>
      <w:suff w:val="tab"/>
      <w:lvlText w:val="%2)"/>
      <w:lvlJc w:val="left"/>
      <w:pPr>
        <w:ind w:left="1080" w:hanging="0"/>
      </w:pPr>
      <w:rPr>
        <w:u w:color="auto" w:val="none"/>
      </w:rPr>
    </w:lvl>
    <w:lvl w:ilvl="2">
      <w:start w:val="1"/>
      <w:numFmt w:val="decimal"/>
      <w:suff w:val="tab"/>
      <w:lvlText w:val="%3)"/>
      <w:lvlJc w:val="left"/>
      <w:pPr>
        <w:ind w:left="1800" w:hanging="0"/>
      </w:pPr>
      <w:rPr>
        <w:u w:color="auto" w:val="none"/>
      </w:rPr>
    </w:lvl>
    <w:lvl w:ilvl="3">
      <w:start w:val="1"/>
      <w:numFmt w:val="lowerLetter"/>
      <w:suff w:val="tab"/>
      <w:lvlText w:val="(%4)"/>
      <w:lvlJc w:val="left"/>
      <w:pPr>
        <w:ind w:left="2520" w:hanging="0"/>
      </w:pPr>
      <w:rPr>
        <w:u w:color="auto" w:val="none"/>
      </w:rPr>
    </w:lvl>
    <w:lvl w:ilvl="4">
      <w:start w:val="1"/>
      <w:numFmt w:val="lowerRoman"/>
      <w:suff w:val="tab"/>
      <w:lvlText w:val="(%5)"/>
      <w:lvlJc w:val="left"/>
      <w:pPr>
        <w:ind w:left="3240" w:hanging="0"/>
      </w:pPr>
      <w:rPr>
        <w:u w:color="auto" w:val="none"/>
      </w:rPr>
    </w:lvl>
    <w:lvl w:ilvl="5">
      <w:start w:val="1"/>
      <w:numFmt w:val="decimal"/>
      <w:suff w:val="tab"/>
      <w:lvlText w:val="(%6)"/>
      <w:lvlJc w:val="left"/>
      <w:pPr>
        <w:ind w:left="3960" w:hanging="0"/>
      </w:pPr>
      <w:rPr>
        <w:u w:color="auto" w:val="none"/>
      </w:rPr>
    </w:lvl>
    <w:lvl w:ilvl="6">
      <w:start w:val="1"/>
      <w:numFmt w:val="lowerLetter"/>
      <w:suff w:val="tab"/>
      <w:lvlText w:val="%7."/>
      <w:lvlJc w:val="left"/>
      <w:pPr>
        <w:ind w:left="4680" w:hanging="0"/>
      </w:pPr>
      <w:rPr>
        <w:u w:color="auto" w:val="none"/>
      </w:rPr>
    </w:lvl>
    <w:lvl w:ilvl="7">
      <w:start w:val="1"/>
      <w:numFmt w:val="lowerRoman"/>
      <w:suff w:val="tab"/>
      <w:lvlText w:val="%8."/>
      <w:lvlJc w:val="left"/>
      <w:pPr>
        <w:ind w:left="5400" w:hanging="0"/>
      </w:pPr>
      <w:rPr>
        <w:u w:color="auto" w:val="none"/>
      </w:rPr>
    </w:lvl>
    <w:lvl w:ilvl="8">
      <w:start w:val="1"/>
      <w:numFmt w:val="decimal"/>
      <w:suff w:val="tab"/>
      <w:lvlText w:val="%9."/>
      <w:lvlJc w:val="left"/>
      <w:pPr>
        <w:ind w:left="6120" w:hanging="0"/>
      </w:pPr>
      <w:rPr>
        <w:u w:color="auto"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20"/>
  <w:autoHyphenation w:val="0"/>
  <w:doNotShadeFormData w:val="0"/>
  <w:captions>
    <w:caption w:name="Tabela" w:pos="below" w:numFmt="decimal"/>
    <w:caption w:name="Figura" w:pos="below" w:numFmt="decimal"/>
    <w:caption w:name="Imagem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/>
  <w:compatSetting w:name="compatibilityMode" w:uri="http://schemas.microsoft.com/office/word" w:val="15"/>
  <w:shapeDefaults>
    <o:shapedefaults v:ext="edit" spidmax="2049"/>
    <o:shapelayout v:ext="edit">
      <o:rules v:ext="edit"/>
    </o:shapelayout>
  </w:shapeDefaults>
  <w:tmPrefOne w:val="17"/>
  <w:tmPrefTwo w:val="1"/>
  <w:tmFmtPref w:val="55065707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1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0"/>
  </w:tmReviewPr>
  <w:tmLastPos>
    <w:tmLastPosPage w:val="1"/>
    <w:tmLastPosSelect w:val="0"/>
    <w:tmLastPosFrameIdx w:val="0"/>
    <w:tmLastPosCaret>
      <w:tmLastPosPgfIdx w:val="31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632507675" w:val="982" w:fileVer="342" w:fileVer64="64" w:fileVerOS="3">
    <w:pdfExportOpt pagesRangeIndex="1" pagesSelectionIndex="0" qualityIndex="0" embedFonts="2" useJpegs="0" useSubsetFonts="1" useAlpha="1" relativeLinks="1" useInteractiveForms="0" taggedPdf="1" pane="0" zoom="0" zoomScale="100" layout="0" includeDoc="0" viewFlags="0" openViewer="1" jpegQuality="90" flags="252" tocGen="1" tocLevels="9" exportComments="0" exportChanges="0" name="/home/consuelo/Área de Trabalho/EDITAIS LAB 2/EDITAL CRIAÇÃO/ANEXO V COMISSÃO DE VERIFICAÇÃO DAS POLÍTICAS DE INCLUSÃO SOCIAL.pdf"/>
  </w:tmAppRevision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hAnsi="Arial" w:eastAsia="Arial" w:cs="Arial"/>
        <w:sz w:val="22"/>
        <w:szCs w:val="22"/>
        <w:lang w:val="pt-br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next w:val="para0"/>
    <w:pPr>
      <w:spacing w:before="480" w:after="120"/>
      <w:keepNext/>
      <w:keepLines/>
    </w:pPr>
    <w:rPr>
      <w:b/>
      <w:sz w:val="48"/>
      <w:szCs w:val="48"/>
    </w:rPr>
  </w:style>
  <w:style w:type="paragraph" w:styleId="para2">
    <w:name w:val="heading 2"/>
    <w:qFormat/>
    <w:basedOn w:val="para0"/>
    <w:next w:val="para0"/>
    <w:pPr>
      <w:spacing w:before="360" w:after="80"/>
      <w:keepNext/>
      <w:keepLines/>
    </w:pPr>
    <w:rPr>
      <w:b/>
      <w:sz w:val="36"/>
      <w:szCs w:val="36"/>
    </w:rPr>
  </w:style>
  <w:style w:type="paragraph" w:styleId="para3">
    <w:name w:val="heading 3"/>
    <w:qFormat/>
    <w:basedOn w:val="para0"/>
    <w:next w:val="para0"/>
    <w:pPr>
      <w:spacing w:before="280" w:after="80"/>
      <w:keepNext/>
      <w:keepLines/>
    </w:pPr>
    <w:rPr>
      <w:b/>
      <w:sz w:val="28"/>
      <w:szCs w:val="28"/>
    </w:rPr>
  </w:style>
  <w:style w:type="paragraph" w:styleId="para4">
    <w:name w:val="heading 4"/>
    <w:qFormat/>
    <w:basedOn w:val="para0"/>
    <w:next w:val="para0"/>
    <w:pPr>
      <w:spacing w:before="240" w:after="40"/>
      <w:keepNext/>
      <w:keepLines/>
    </w:pPr>
    <w:rPr>
      <w:b/>
      <w:sz w:val="24"/>
      <w:szCs w:val="24"/>
    </w:rPr>
  </w:style>
  <w:style w:type="paragraph" w:styleId="para5">
    <w:name w:val="heading 5"/>
    <w:qFormat/>
    <w:basedOn w:val="para0"/>
    <w:next w:val="para0"/>
    <w:pPr>
      <w:spacing w:before="220" w:after="40"/>
      <w:keepNext/>
      <w:keepLines/>
    </w:pPr>
    <w:rPr>
      <w:b/>
    </w:rPr>
  </w:style>
  <w:style w:type="paragraph" w:styleId="para6">
    <w:name w:val="heading 6"/>
    <w:qFormat/>
    <w:basedOn w:val="para0"/>
    <w:next w:val="para0"/>
    <w:pPr>
      <w:spacing w:before="200" w:after="40"/>
      <w:keepNext/>
      <w:keepLines/>
    </w:pPr>
    <w:rPr>
      <w:b/>
      <w:sz w:val="20"/>
      <w:szCs w:val="20"/>
    </w:rPr>
  </w:style>
  <w:style w:type="paragraph" w:styleId="para7">
    <w:name w:val="Title"/>
    <w:qFormat/>
    <w:basedOn w:val="para0"/>
    <w:next w:val="para0"/>
    <w:pPr>
      <w:spacing w:before="480" w:after="120"/>
      <w:keepNext/>
      <w:keepLines/>
    </w:pPr>
    <w:rPr>
      <w:b/>
      <w:sz w:val="72"/>
      <w:szCs w:val="72"/>
    </w:rPr>
  </w:style>
  <w:style w:type="paragraph" w:styleId="para8" w:customStyle="1">
    <w:name w:val="normal"/>
    <w:qFormat/>
    <w:rPr>
      <w:rFonts w:ascii="Arial" w:hAnsi="Arial" w:eastAsia="Arial" w:cs="Arial"/>
      <w:sz w:val="22"/>
      <w:szCs w:val="22"/>
      <w:lang w:val="pt-br"/>
    </w:rPr>
  </w:style>
  <w:style w:type="paragraph" w:styleId="para9" w:customStyle="1">
    <w:name w:val="heading 1"/>
    <w:qFormat/>
    <w:basedOn w:val="para0"/>
    <w:next w:val="para0"/>
    <w:pPr>
      <w:spacing w:before="480" w:after="120"/>
      <w:keepNext/>
      <w:outlineLvl w:val="0"/>
      <w:keepLines/>
    </w:pPr>
    <w:rPr>
      <w:b/>
      <w:sz w:val="48"/>
      <w:szCs w:val="48"/>
    </w:rPr>
  </w:style>
  <w:style w:type="paragraph" w:styleId="para10" w:customStyle="1">
    <w:name w:val="heading 2"/>
    <w:qFormat/>
    <w:basedOn w:val="para0"/>
    <w:next w:val="para0"/>
    <w:pPr>
      <w:spacing w:before="360" w:after="80"/>
      <w:keepNext/>
      <w:outlineLvl w:val="1"/>
      <w:keepLines/>
    </w:pPr>
    <w:rPr>
      <w:b/>
      <w:sz w:val="36"/>
      <w:szCs w:val="36"/>
    </w:rPr>
  </w:style>
  <w:style w:type="paragraph" w:styleId="para11" w:customStyle="1">
    <w:name w:val="heading 3"/>
    <w:qFormat/>
    <w:basedOn w:val="para0"/>
    <w:next w:val="para0"/>
    <w:pPr>
      <w:spacing w:before="280" w:after="80"/>
      <w:keepNext/>
      <w:outlineLvl w:val="2"/>
      <w:keepLines/>
    </w:pPr>
    <w:rPr>
      <w:b/>
      <w:sz w:val="28"/>
      <w:szCs w:val="28"/>
    </w:rPr>
  </w:style>
  <w:style w:type="paragraph" w:styleId="para12" w:customStyle="1">
    <w:name w:val="heading 4"/>
    <w:qFormat/>
    <w:basedOn w:val="para0"/>
    <w:next w:val="para0"/>
    <w:pPr>
      <w:spacing w:before="240" w:after="40"/>
      <w:keepNext/>
      <w:outlineLvl w:val="3"/>
      <w:keepLines/>
    </w:pPr>
    <w:rPr>
      <w:b/>
      <w:sz w:val="24"/>
      <w:szCs w:val="24"/>
    </w:rPr>
  </w:style>
  <w:style w:type="paragraph" w:styleId="para13" w:customStyle="1">
    <w:name w:val="heading 5"/>
    <w:qFormat/>
    <w:basedOn w:val="para0"/>
    <w:next w:val="para0"/>
    <w:pPr>
      <w:spacing w:before="220" w:after="40"/>
      <w:keepNext/>
      <w:outlineLvl w:val="4"/>
      <w:keepLines/>
    </w:pPr>
    <w:rPr>
      <w:b/>
    </w:rPr>
  </w:style>
  <w:style w:type="paragraph" w:styleId="para14" w:customStyle="1">
    <w:name w:val="heading 6"/>
    <w:qFormat/>
    <w:basedOn w:val="para0"/>
    <w:next w:val="para0"/>
    <w:pPr>
      <w:spacing w:before="200" w:after="40"/>
      <w:keepNext/>
      <w:outlineLvl w:val="5"/>
      <w:keepLines/>
    </w:pPr>
    <w:rPr>
      <w:b/>
      <w:sz w:val="20"/>
      <w:szCs w:val="20"/>
    </w:rPr>
  </w:style>
  <w:style w:type="paragraph" w:styleId="para15" w:customStyle="1">
    <w:name w:val="Title"/>
    <w:qFormat/>
    <w:basedOn w:val="para0"/>
    <w:next w:val="para0"/>
    <w:pPr>
      <w:spacing w:before="480" w:after="120"/>
      <w:keepNext/>
      <w:keepLines/>
    </w:pPr>
    <w:rPr>
      <w:b/>
      <w:sz w:val="72"/>
      <w:szCs w:val="72"/>
    </w:rPr>
  </w:style>
  <w:style w:type="paragraph" w:styleId="para16" w:customStyle="1">
    <w:name w:val="Normal*"/>
    <w:qFormat/>
    <w:rPr>
      <w:rFonts w:ascii="Arial" w:hAnsi="Arial" w:eastAsia="Arial" w:cs="Arial"/>
      <w:sz w:val="22"/>
      <w:szCs w:val="22"/>
      <w:lang w:val="pt-br"/>
    </w:rPr>
  </w:style>
  <w:style w:type="paragraph" w:styleId="para17">
    <w:name w:val="Subtitle"/>
    <w:qFormat/>
    <w:basedOn w:val="para0"/>
    <w:next w:val="para0"/>
    <w:pPr>
      <w:spacing w:before="360" w:after="80"/>
      <w:keepNext/>
      <w:keepLines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ra18">
    <w:name w:val="List Paragraph"/>
    <w:qFormat/>
    <w:basedOn w:val="para0"/>
    <w:pPr>
      <w:ind w:left="720"/>
      <w:contextualSpacing/>
    </w:pPr>
  </w:style>
  <w:style w:type="paragraph" w:styleId="para19" w:customStyle="1">
    <w:name w:val="Subtitle"/>
    <w:qFormat/>
    <w:basedOn w:val="para0"/>
    <w:next w:val="para0"/>
    <w:pPr>
      <w:spacing w:before="360" w:after="80"/>
      <w:keepNext/>
      <w:keepLines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char0" w:default="1">
    <w:name w:val="Default Paragraph Font"/>
  </w:style>
  <w:style w:type="table" w:default="1" w:styleId="TableNormal">
    <w:name w:val="Tabela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hAnsi="Arial" w:eastAsia="Arial" w:cs="Arial"/>
        <w:sz w:val="22"/>
        <w:szCs w:val="22"/>
        <w:lang w:val="pt-br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next w:val="para0"/>
    <w:pPr>
      <w:spacing w:before="480" w:after="120"/>
      <w:keepNext/>
      <w:keepLines/>
    </w:pPr>
    <w:rPr>
      <w:b/>
      <w:sz w:val="48"/>
      <w:szCs w:val="48"/>
    </w:rPr>
  </w:style>
  <w:style w:type="paragraph" w:styleId="para2">
    <w:name w:val="heading 2"/>
    <w:qFormat/>
    <w:basedOn w:val="para0"/>
    <w:next w:val="para0"/>
    <w:pPr>
      <w:spacing w:before="360" w:after="80"/>
      <w:keepNext/>
      <w:keepLines/>
    </w:pPr>
    <w:rPr>
      <w:b/>
      <w:sz w:val="36"/>
      <w:szCs w:val="36"/>
    </w:rPr>
  </w:style>
  <w:style w:type="paragraph" w:styleId="para3">
    <w:name w:val="heading 3"/>
    <w:qFormat/>
    <w:basedOn w:val="para0"/>
    <w:next w:val="para0"/>
    <w:pPr>
      <w:spacing w:before="280" w:after="80"/>
      <w:keepNext/>
      <w:keepLines/>
    </w:pPr>
    <w:rPr>
      <w:b/>
      <w:sz w:val="28"/>
      <w:szCs w:val="28"/>
    </w:rPr>
  </w:style>
  <w:style w:type="paragraph" w:styleId="para4">
    <w:name w:val="heading 4"/>
    <w:qFormat/>
    <w:basedOn w:val="para0"/>
    <w:next w:val="para0"/>
    <w:pPr>
      <w:spacing w:before="240" w:after="40"/>
      <w:keepNext/>
      <w:keepLines/>
    </w:pPr>
    <w:rPr>
      <w:b/>
      <w:sz w:val="24"/>
      <w:szCs w:val="24"/>
    </w:rPr>
  </w:style>
  <w:style w:type="paragraph" w:styleId="para5">
    <w:name w:val="heading 5"/>
    <w:qFormat/>
    <w:basedOn w:val="para0"/>
    <w:next w:val="para0"/>
    <w:pPr>
      <w:spacing w:before="220" w:after="40"/>
      <w:keepNext/>
      <w:keepLines/>
    </w:pPr>
    <w:rPr>
      <w:b/>
    </w:rPr>
  </w:style>
  <w:style w:type="paragraph" w:styleId="para6">
    <w:name w:val="heading 6"/>
    <w:qFormat/>
    <w:basedOn w:val="para0"/>
    <w:next w:val="para0"/>
    <w:pPr>
      <w:spacing w:before="200" w:after="40"/>
      <w:keepNext/>
      <w:keepLines/>
    </w:pPr>
    <w:rPr>
      <w:b/>
      <w:sz w:val="20"/>
      <w:szCs w:val="20"/>
    </w:rPr>
  </w:style>
  <w:style w:type="paragraph" w:styleId="para7">
    <w:name w:val="Title"/>
    <w:qFormat/>
    <w:basedOn w:val="para0"/>
    <w:next w:val="para0"/>
    <w:pPr>
      <w:spacing w:before="480" w:after="120"/>
      <w:keepNext/>
      <w:keepLines/>
    </w:pPr>
    <w:rPr>
      <w:b/>
      <w:sz w:val="72"/>
      <w:szCs w:val="72"/>
    </w:rPr>
  </w:style>
  <w:style w:type="paragraph" w:styleId="para8" w:customStyle="1">
    <w:name w:val="normal"/>
    <w:qFormat/>
    <w:rPr>
      <w:rFonts w:ascii="Arial" w:hAnsi="Arial" w:eastAsia="Arial" w:cs="Arial"/>
      <w:sz w:val="22"/>
      <w:szCs w:val="22"/>
      <w:lang w:val="pt-br"/>
    </w:rPr>
  </w:style>
  <w:style w:type="paragraph" w:styleId="para9" w:customStyle="1">
    <w:name w:val="heading 1"/>
    <w:qFormat/>
    <w:basedOn w:val="para0"/>
    <w:next w:val="para0"/>
    <w:pPr>
      <w:spacing w:before="480" w:after="120"/>
      <w:keepNext/>
      <w:outlineLvl w:val="0"/>
      <w:keepLines/>
    </w:pPr>
    <w:rPr>
      <w:b/>
      <w:sz w:val="48"/>
      <w:szCs w:val="48"/>
    </w:rPr>
  </w:style>
  <w:style w:type="paragraph" w:styleId="para10" w:customStyle="1">
    <w:name w:val="heading 2"/>
    <w:qFormat/>
    <w:basedOn w:val="para0"/>
    <w:next w:val="para0"/>
    <w:pPr>
      <w:spacing w:before="360" w:after="80"/>
      <w:keepNext/>
      <w:outlineLvl w:val="1"/>
      <w:keepLines/>
    </w:pPr>
    <w:rPr>
      <w:b/>
      <w:sz w:val="36"/>
      <w:szCs w:val="36"/>
    </w:rPr>
  </w:style>
  <w:style w:type="paragraph" w:styleId="para11" w:customStyle="1">
    <w:name w:val="heading 3"/>
    <w:qFormat/>
    <w:basedOn w:val="para0"/>
    <w:next w:val="para0"/>
    <w:pPr>
      <w:spacing w:before="280" w:after="80"/>
      <w:keepNext/>
      <w:outlineLvl w:val="2"/>
      <w:keepLines/>
    </w:pPr>
    <w:rPr>
      <w:b/>
      <w:sz w:val="28"/>
      <w:szCs w:val="28"/>
    </w:rPr>
  </w:style>
  <w:style w:type="paragraph" w:styleId="para12" w:customStyle="1">
    <w:name w:val="heading 4"/>
    <w:qFormat/>
    <w:basedOn w:val="para0"/>
    <w:next w:val="para0"/>
    <w:pPr>
      <w:spacing w:before="240" w:after="40"/>
      <w:keepNext/>
      <w:outlineLvl w:val="3"/>
      <w:keepLines/>
    </w:pPr>
    <w:rPr>
      <w:b/>
      <w:sz w:val="24"/>
      <w:szCs w:val="24"/>
    </w:rPr>
  </w:style>
  <w:style w:type="paragraph" w:styleId="para13" w:customStyle="1">
    <w:name w:val="heading 5"/>
    <w:qFormat/>
    <w:basedOn w:val="para0"/>
    <w:next w:val="para0"/>
    <w:pPr>
      <w:spacing w:before="220" w:after="40"/>
      <w:keepNext/>
      <w:outlineLvl w:val="4"/>
      <w:keepLines/>
    </w:pPr>
    <w:rPr>
      <w:b/>
    </w:rPr>
  </w:style>
  <w:style w:type="paragraph" w:styleId="para14" w:customStyle="1">
    <w:name w:val="heading 6"/>
    <w:qFormat/>
    <w:basedOn w:val="para0"/>
    <w:next w:val="para0"/>
    <w:pPr>
      <w:spacing w:before="200" w:after="40"/>
      <w:keepNext/>
      <w:outlineLvl w:val="5"/>
      <w:keepLines/>
    </w:pPr>
    <w:rPr>
      <w:b/>
      <w:sz w:val="20"/>
      <w:szCs w:val="20"/>
    </w:rPr>
  </w:style>
  <w:style w:type="paragraph" w:styleId="para15" w:customStyle="1">
    <w:name w:val="Title"/>
    <w:qFormat/>
    <w:basedOn w:val="para0"/>
    <w:next w:val="para0"/>
    <w:pPr>
      <w:spacing w:before="480" w:after="120"/>
      <w:keepNext/>
      <w:keepLines/>
    </w:pPr>
    <w:rPr>
      <w:b/>
      <w:sz w:val="72"/>
      <w:szCs w:val="72"/>
    </w:rPr>
  </w:style>
  <w:style w:type="paragraph" w:styleId="para16" w:customStyle="1">
    <w:name w:val="Normal*"/>
    <w:qFormat/>
    <w:rPr>
      <w:rFonts w:ascii="Arial" w:hAnsi="Arial" w:eastAsia="Arial" w:cs="Arial"/>
      <w:sz w:val="22"/>
      <w:szCs w:val="22"/>
      <w:lang w:val="pt-br"/>
    </w:rPr>
  </w:style>
  <w:style w:type="paragraph" w:styleId="para17">
    <w:name w:val="Subtitle"/>
    <w:qFormat/>
    <w:basedOn w:val="para0"/>
    <w:next w:val="para0"/>
    <w:pPr>
      <w:spacing w:before="360" w:after="80"/>
      <w:keepNext/>
      <w:keepLines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ra18">
    <w:name w:val="List Paragraph"/>
    <w:qFormat/>
    <w:basedOn w:val="para0"/>
    <w:pPr>
      <w:ind w:left="720"/>
      <w:contextualSpacing/>
    </w:pPr>
  </w:style>
  <w:style w:type="paragraph" w:styleId="para19" w:customStyle="1">
    <w:name w:val="Subtitle"/>
    <w:qFormat/>
    <w:basedOn w:val="para0"/>
    <w:next w:val="para0"/>
    <w:pPr>
      <w:spacing w:before="360" w:after="80"/>
      <w:keepNext/>
      <w:keepLines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char0" w:default="1">
    <w:name w:val="Default Paragraph Font"/>
  </w:style>
  <w:style w:type="table" w:default="1" w:styleId="TableNormal">
    <w:name w:val="Tabela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header" Target="header1.xml"/></Relationships>
</file>

<file path=word/_rels/header1.xml.rels><?xml version="1.0" encoding="UTF-8" standalone="yes" 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D5D5D5"/>
      </a:dk1>
      <a:lt1>
        <a:sysClr val="window" lastClr="49494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rev.982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Ellen Meireles</cp:lastModifiedBy>
  <cp:revision>1</cp:revision>
  <cp:lastPrinted>2021-09-24T18:20:33Z</cp:lastPrinted>
  <dcterms:created xsi:type="dcterms:W3CDTF">2021-08-17T14:14:00Z</dcterms:created>
  <dcterms:modified xsi:type="dcterms:W3CDTF">2021-09-24T18:21:15Z</dcterms:modified>
</cp:coreProperties>
</file>