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CONCURSO 2024</w:t>
      </w:r>
    </w:p>
    <w:p w:rsidR="00000000" w:rsidDel="00000000" w:rsidP="00000000" w:rsidRDefault="00000000" w:rsidRPr="00000000" w14:paraId="00000003">
      <w:pPr>
        <w:widowControl w:val="0"/>
        <w:spacing w:before="1"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="240" w:lineRule="auto"/>
        <w:ind w:left="2734" w:right="273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87c"/>
          <w:sz w:val="24"/>
          <w:szCs w:val="24"/>
          <w:rtl w:val="0"/>
        </w:rPr>
        <w:t xml:space="preserve">ANEXO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0" w:line="240" w:lineRule="auto"/>
        <w:ind w:left="1724" w:right="17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87c"/>
          <w:sz w:val="24"/>
          <w:szCs w:val="24"/>
          <w:rtl w:val="0"/>
        </w:rPr>
        <w:t xml:space="preserve">PLANO DO ESPETÁCULO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espetáculo: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grupo: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responsável/proponente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Histórico do grupo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Sinopse do espetáculo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Duração do espetáculo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Público-alvo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Incluir características, estimativa de alcance e classificação indicativa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</w:t>
            </w:r>
            <w:r w:rsidDel="00000000" w:rsidR="00000000" w:rsidRPr="00000000">
              <w:rPr>
                <w:b w:val="1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realização do espetáculo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breve currículo da produção e direção </w:t>
            </w:r>
            <w:r w:rsidDel="00000000" w:rsidR="00000000" w:rsidRPr="00000000">
              <w:rPr>
                <w:b w:val="1"/>
                <w:rtl w:val="0"/>
              </w:rPr>
              <w:t xml:space="preserve">artística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26.0" w:type="dxa"/>
        <w:jc w:val="left"/>
        <w:tblInd w:w="5.0" w:type="dxa"/>
        <w:tblLayout w:type="fixed"/>
        <w:tblLook w:val="00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Ficha técnica completa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40" w:top="209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widowControl w:val="0"/>
      <w:spacing w:line="14.399999999999999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1193963</wp:posOffset>
          </wp:positionH>
          <wp:positionV relativeFrom="paragraph">
            <wp:posOffset>114300</wp:posOffset>
          </wp:positionV>
          <wp:extent cx="3338513" cy="1037646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 1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und" w:eastAsia="zh-CN" w:val="und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40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HeaderandFooter"/>
    <w:next w:val="Cabeçalho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XyZ5viqYcznr8apXsI07PbUng==">CgMxLjA4AHIhMUgzbWNadnloT0QtMHFuN2JRajlKOVdzMmJFd2prUkFl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2023-10-16T14:36:00Z</dcterms:created>
  <dc:creator>Edmea Cruz Ubirajara Neta Paes</dc:creator>
</cp:coreProperties>
</file>