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29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5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CRONOGRAMA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5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5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33"/>
        <w:gridCol w:w="2527"/>
        <w:tblGridChange w:id="0">
          <w:tblGrid>
            <w:gridCol w:w="7933"/>
            <w:gridCol w:w="2527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44" w:right="234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ETAPA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6" w:right="753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PRAZO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PUBLICAÇÃO DO EDITAL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6" w:right="756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23/08/2023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PERÍODO PARA INSCRIÇÕES DAS PROPOSTAS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6" w:right="756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26/09/2023 a 30/10/2023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ANÁLISE PRELIMINAR DAS PROPOSTAS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21 a 28/09/2023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DIVULGAÇÃO DO RESULTADO DA ANÁLISE PRELIMINAR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29/09/2023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PRAZO PARA APRESENTAÇÃO DE RECURSOS AO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RESULTADO DA ANÁLISE PRELIMINAR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30/09 a 06/10/2023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PERÍODO DE ANÁLISE DOS RECURSOS AO RESULTADO DA ANÁLISE PRELIMINAR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07 a 12/10/2023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PUBLICAÇÃO DO RESULTADO DA ANÁLISE DOS RECURSOS AO RESULTADO DA ANÁLISE PRELIMINAR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13/10/2023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ANÁLISE DAS PROPOSTAS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14/10 a 27/11/2023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PUBLICAÇÃO DO RESULTADO PROVISÓRIO DA ANÁLISE DAS PROPOSTAS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28/11/2023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PRAZO PARA APRESENTAÇÃO DE RECURSOS AO RESULTADO PROVISÓRIO DA ANÁLISE DAS PROPOSTAS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ind w:left="10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29/11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14/12/2023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PERÍODO DE ANÁLISE DOS RECURSOS AO RESULTADO PROVISÓRIO DA ANÁLISE DAS PROPOSTAS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ind w:left="10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15/12 a 29/12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SISTEMATIZAÇÃO/RANQUEAMENTO DAS PROPOSTAS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ind w:left="10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02/01/2024 a 04/01/2024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ind w:left="10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PUBLICAÇÃO DO RESULTADO DE ANÁLISE DOS RECURSOS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ind w:left="10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05/01/2024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PRAZO PARA APRESENTAÇÃO DE CONTRARRAZÕES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ind w:left="10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08/01/2024 e 09/01/2024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ind w:left="10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PERÍODO DE ANÁLISE DAS CONTRARRAZÕES AO RESULTADO PROVISÓRIO DA ANÁLISE DAS PROPOSTAS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ind w:left="10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10/01/2024 a 15/01/2024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ind w:left="10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SISTEMATIZAÇÃO/RANQUEAMENTO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ind w:left="10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16/01/2024 a 18/01/2024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PUBLICAÇÃO DO RESULTADO FINAL DA ANÁLISE DAS PROPOSTAS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ind w:left="10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19/01/2024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PRAZO DE ENTREGA DA DOCUMENTAÇÃO DE HABILITAÇÃO PARA PAGAMENTOS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ind w:left="10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22/01/2024 a 26/01/2024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ANÁLISE DOCUMENTAL DE HABILITAÇÃO PARA PAGAMENTO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ind w:left="10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29/01/2024 a 0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/02/2024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PUBLICAÇÃO DO RESULTADO PROVISÓRIO DA ANÁLISE DOCUMENTAL DE HABILITAÇÃO PARA PAGAMENTO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ind w:left="10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/02/2024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PRAZO PARA APRESENTAÇÃO DE RECURSOS AO RESULTADO PROVISÓRIO DA ANÁLISE DOCUMENTAL DE HABILITAÇÃO PARA PAGAMENTO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ind w:left="10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/02/2024 a 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9/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02/2024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ANÁLISE DOS RECURSOS AO RESULTADO PROVISÓRIO DA ANÁLISE DOCUMENTAL DE HABILITAÇÃO PARA PAGAMENTO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ind w:left="10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/02/2024 a 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/02/2024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PUBLICAÇÃO RESULTADO FINAL DA ANÁLISE DOCUMENTAL DE HABILITAÇÃO PARA PAGAMENTO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/02/2024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PRAZO PARA ASSINATURA DO RECIBO DE PAGAMENTO DIRETO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ind w:left="10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/02/2024 a 0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/03/2024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PERÍODO DE PAGAMENTO DOS RECURSOS AOS BENEFICIÁRIOS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 partir de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06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/03/2024</w:t>
            </w:r>
          </w:p>
        </w:tc>
      </w:tr>
    </w:tbl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rFonts w:ascii="Times New Roman" w:cs="Times New Roman" w:eastAsia="Times New Roman" w:hAnsi="Times New Roman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10" w:orient="portrait"/>
      <w:pgMar w:bottom="720" w:top="720" w:left="720" w:right="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widowControl w:val="1"/>
      <w:spacing w:after="120" w:line="276" w:lineRule="auto"/>
      <w:jc w:val="center"/>
      <w:rPr/>
    </w:pPr>
    <w:r w:rsidDel="00000000" w:rsidR="00000000" w:rsidRPr="00000000">
      <w:rPr>
        <w:b w:val="1"/>
        <w:sz w:val="24"/>
        <w:szCs w:val="24"/>
      </w:rPr>
      <w:drawing>
        <wp:inline distB="0" distT="0" distL="0" distR="0">
          <wp:extent cx="2283460" cy="69977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83460" cy="6997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230" w:lineRule="auto"/>
      <w:ind w:right="1697"/>
      <w:jc w:val="right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2023-12-06T00:00:00Z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iteId">
    <vt:lpwstr>90b74fbb-3c34-4888-90c1-e5691f36d432</vt:lpwstr>
  </property>
  <property fmtid="{D5CDD505-2E9C-101B-9397-08002B2CF9AE}" pid="5" name="MSIP_Label_defa4170-0d19-0005-0004-bc88714345d2_ActionId">
    <vt:lpwstr>ab369c62-6828-4e09-86fc-c5b7aa2f67bd</vt:lpwstr>
  </property>
  <property fmtid="{D5CDD505-2E9C-101B-9397-08002B2CF9AE}" pid="6" name="MSIP_Label_defa4170-0d19-0005-0004-bc88714345d2_ContentBits">
    <vt:lpwstr>0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etDate">
    <vt:lpwstr>2023-12-22T13:31:57Z</vt:lpwstr>
  </property>
  <property fmtid="{D5CDD505-2E9C-101B-9397-08002B2CF9AE}" pid="9" name="Creator">
    <vt:lpwstr>Microsoft® Office Word 2007</vt:lpwstr>
  </property>
  <property fmtid="{D5CDD505-2E9C-101B-9397-08002B2CF9AE}" pid="10" name="Created">
    <vt:lpwstr>2023-11-14T00:00:00Z</vt:lpwstr>
  </property>
  <property fmtid="{D5CDD505-2E9C-101B-9397-08002B2CF9AE}" pid="11" name="MSIP_Label_defa4170-0d19-0005-0004-bc88714345d2_Method">
    <vt:lpwstr>Standard</vt:lpwstr>
  </property>
</Properties>
</file>