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19º EDITAL DO PROGRAMA DE FOMENTO À PRODUÇÃO AUDIOVISUAL DE PERNAMBUCO – FUNCULTURA 2024/2025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MODELO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5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: Verifique se o CARGO/FUNÇÃO do profissional aqui apresentado é o mesmo indicado na Ficha Técnica-Financeira (Anexo 01).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257.0" w:type="dxa"/>
        <w:tblLayout w:type="fixed"/>
        <w:tblLook w:val="0400"/>
      </w:tblPr>
      <w:tblGrid>
        <w:gridCol w:w="2127"/>
        <w:gridCol w:w="3397"/>
        <w:gridCol w:w="3974"/>
        <w:tblGridChange w:id="0">
          <w:tblGrid>
            <w:gridCol w:w="2127"/>
            <w:gridCol w:w="3397"/>
            <w:gridCol w:w="397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DADOS PESSOAIS DO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CARGO/ FUNÇÃO NO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TELEFONE COM DDD: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B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0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7366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899" l="0" r="0" t="3770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1552102</wp:posOffset>
          </wp:positionH>
          <wp:positionV relativeFrom="paragraph">
            <wp:posOffset>-76199</wp:posOffset>
          </wp:positionV>
          <wp:extent cx="2291504" cy="1096327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1504" cy="10963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7Hl01yodntD5SLzN3frT7HdZYA==">CgMxLjAyCGguZ2pkZ3hzMgloLjMwajB6bGw4AHIhMUoyTjZGYk5IdXNoaGxNdE1FdEFMbTFIQWlHVUpYc1J1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