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1155cc"/>
          <w:rtl w:val="0"/>
        </w:rPr>
        <w:t xml:space="preserve">20º CONCURSO PÚBLICO DE REGISTRO DO PATRIMÔNIO VIVO DO ESTADO DE PERNAMBUCO - RPV-PE | EDIÇÃO 2025</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 06</w:t>
      </w:r>
    </w:p>
    <w:p w:rsidR="00000000" w:rsidDel="00000000" w:rsidP="00000000" w:rsidRDefault="00000000" w:rsidRPr="00000000" w14:paraId="00000003">
      <w:pPr>
        <w:jc w:val="center"/>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DECLARAÇÃO DE IMPEDIMENTOS </w:t>
      </w:r>
    </w:p>
    <w:p w:rsidR="00000000" w:rsidDel="00000000" w:rsidP="00000000" w:rsidRDefault="00000000" w:rsidRPr="00000000" w14:paraId="00000004">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bl>
      <w:tblPr>
        <w:tblStyle w:val="Table1"/>
        <w:tblpPr w:leftFromText="141" w:rightFromText="141" w:topFromText="0" w:bottomFromText="0" w:vertAnchor="text" w:horzAnchor="text" w:tblpX="-1160" w:tblpY="0"/>
        <w:tblW w:w="107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00"/>
        <w:gridCol w:w="1275"/>
        <w:gridCol w:w="4095"/>
        <w:tblGridChange w:id="0">
          <w:tblGrid>
            <w:gridCol w:w="5400"/>
            <w:gridCol w:w="1275"/>
            <w:gridCol w:w="4095"/>
          </w:tblGrid>
        </w:tblGridChange>
      </w:tblGrid>
      <w:tr>
        <w:trPr>
          <w:cantSplit w:val="0"/>
          <w:trHeight w:val="551" w:hRule="atLeast"/>
          <w:tblHeader w:val="0"/>
        </w:trPr>
        <w:tc>
          <w:tcPr>
            <w:gridSpan w:val="3"/>
            <w:tcBorders>
              <w:top w:color="000000" w:space="0" w:sz="4" w:val="single"/>
              <w:left w:color="000000" w:space="0" w:sz="4" w:val="single"/>
              <w:bottom w:color="000000" w:space="0" w:sz="4" w:val="single"/>
              <w:right w:color="000000" w:space="0" w:sz="4" w:val="single"/>
            </w:tcBorders>
            <w:shd w:fill="9cc3e5" w:val="clear"/>
            <w:tcMar>
              <w:top w:w="0.0" w:type="dxa"/>
              <w:left w:w="108.0" w:type="dxa"/>
              <w:bottom w:w="0.0" w:type="dxa"/>
              <w:right w:w="108.0" w:type="dxa"/>
            </w:tcMar>
          </w:tcPr>
          <w:p w:rsidR="00000000" w:rsidDel="00000000" w:rsidP="00000000" w:rsidRDefault="00000000" w:rsidRPr="00000000" w14:paraId="00000005">
            <w:pPr>
              <w:spacing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EDITAL DO 20º CONCURSO PÚBLICO DE REGISTRO DO PATRIMÔNIO VIVO DO ESTADO DE PERNAMBUCO.</w:t>
            </w:r>
          </w:p>
          <w:p w:rsidR="00000000" w:rsidDel="00000000" w:rsidP="00000000" w:rsidRDefault="00000000" w:rsidRPr="00000000" w14:paraId="00000006">
            <w:pPr>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68"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09">
            <w:pPr>
              <w:jc w:val="center"/>
              <w:rPr>
                <w:rFonts w:ascii="Times New Roman" w:cs="Times New Roman" w:eastAsia="Times New Roman" w:hAnsi="Times New Roman"/>
                <w:b w:val="1"/>
                <w:sz w:val="24"/>
                <w:szCs w:val="24"/>
                <w:highlight w:val="yellow"/>
              </w:rPr>
            </w:pPr>
            <w:r w:rsidDel="00000000" w:rsidR="00000000" w:rsidRPr="00000000">
              <w:rPr>
                <w:rtl w:val="0"/>
              </w:rPr>
            </w:r>
          </w:p>
        </w:tc>
      </w:tr>
      <w:tr>
        <w:trPr>
          <w:cantSplit w:val="0"/>
          <w:trHeight w:val="521" w:hRule="atLeast"/>
          <w:tblHeader w:val="0"/>
        </w:trPr>
        <w:tc>
          <w:tcPr>
            <w:gridSpan w:val="3"/>
            <w:tcBorders>
              <w:top w:color="000000" w:space="0" w:sz="4" w:val="single"/>
              <w:left w:color="000000" w:space="0" w:sz="4" w:val="single"/>
              <w:bottom w:color="000000" w:space="0" w:sz="4" w:val="single"/>
              <w:right w:color="000000" w:space="0" w:sz="4" w:val="single"/>
            </w:tcBorders>
            <w:shd w:fill="9cc3e5" w:val="clear"/>
            <w:tcMar>
              <w:top w:w="0.0" w:type="dxa"/>
              <w:left w:w="108.0" w:type="dxa"/>
              <w:bottom w:w="0.0" w:type="dxa"/>
              <w:right w:w="108.0" w:type="dxa"/>
            </w:tcMar>
          </w:tcPr>
          <w:p w:rsidR="00000000" w:rsidDel="00000000" w:rsidP="00000000" w:rsidRDefault="00000000" w:rsidRPr="00000000" w14:paraId="0000000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IDENTIFICAÇÃO DO PROPONENTE</w:t>
            </w:r>
          </w:p>
        </w:tc>
      </w:tr>
      <w:tr>
        <w:trPr>
          <w:cantSplit w:val="0"/>
          <w:trHeight w:val="1183"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0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ENTIDADE PROPONENTE: </w:t>
            </w:r>
          </w:p>
          <w:p w:rsidR="00000000" w:rsidDel="00000000" w:rsidP="00000000" w:rsidRDefault="00000000" w:rsidRPr="00000000" w14:paraId="0000001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1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CNPJ:</w:t>
            </w:r>
          </w:p>
        </w:tc>
      </w:tr>
      <w:tr>
        <w:trPr>
          <w:cantSplit w:val="0"/>
          <w:trHeight w:val="1305"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1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CANDIDATO (PESSOA NATURAL OU REPRESENTANTE DE GRUPO):</w:t>
            </w:r>
          </w:p>
          <w:p w:rsidR="00000000" w:rsidDel="00000000" w:rsidP="00000000" w:rsidRDefault="00000000" w:rsidRPr="00000000" w14:paraId="0000001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1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CPF ou CNPJ:</w:t>
            </w:r>
          </w:p>
        </w:tc>
      </w:tr>
      <w:tr>
        <w:trPr>
          <w:cantSplit w:val="0"/>
          <w:trHeight w:val="2969" w:hRule="atLeast"/>
          <w:tblHeader w:val="0"/>
        </w:trPr>
        <w:tc>
          <w:tcPr>
            <w:gridSpan w:val="3"/>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Declaro, para os devidos fins, que esta candidatura não se enquadra em nenhum dos impedimentos abaixo discriminados:</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4"/>
                <w:szCs w:val="24"/>
              </w:rPr>
            </w:pPr>
            <w:bookmarkStart w:colFirst="0" w:colLast="0" w:name="_heading=h.30j0zll" w:id="1"/>
            <w:bookmarkEnd w:id="1"/>
            <w:r w:rsidDel="00000000" w:rsidR="00000000" w:rsidRPr="00000000">
              <w:rPr>
                <w:rFonts w:ascii="Times New Roman" w:cs="Times New Roman" w:eastAsia="Times New Roman" w:hAnsi="Times New Roman"/>
                <w:sz w:val="24"/>
                <w:szCs w:val="24"/>
                <w:rtl w:val="0"/>
              </w:rPr>
              <w:t xml:space="preserve">I. Candidatos ou representantes da entidade proponente que tenham se envolvido diretamente na etapa de elaboração do edital, na etapa de análise de propostas ou na etapa de julgamento de recursos;</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Candidatos ou representantes da entidade proponente que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Candidatos que sejam membro do Poder Legislativo (Deputados, Senadores, Vereadores), do Poder Judiciário (Juízes, Desembargadores, Ministros), do Ministério Público (Promotor, Procurador); do Tribunal de Contas (Auditores e Conselheiros);</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Candidatos ou representantes da entidade proponente, no ano vigente do certame, que integrem o quadro de funcionários da Fundarpe e Secult-PE, incluindo-se o(a)s bolsistas, o(a)s ocupantes de cargos comissionados e demais profissionais que tenham vínculos diretos com a Fundarpe e Secult-PE, dos membros do Conselho Estadual de Preservação do Patrimônio Cultural - CEPPC, bem como de seus respectivos cônjuges /companheiros e parentes de até segundo grau.</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Candidatos ou representantes da entidade proponente que sejam membros da Comissão Especial de Análise de que trata o § 2º do artigo 8º da Lei nº 12.196/2002, que no ano de 2025 figure na condição de candidato (a) ou representante de Entidade Proponente. </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Candidatos ou representantes da entidade proponente que figurem no quadro de servidores da Fundarpe e Secult-PE, nos termos acima referendados, e que participarem diretamente ou indiretamente do procedimento licitatório, restam impedidos de apresentarem as suas candidaturas. </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 Candidatos ou representantes da entidade proponente que sejam funcionários(as) terceirizados(as) que apresentem sua(as) candidaturas àqueles que participarem diretamente do procedimento licitatório. </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VIII. No caso de grupos, que candidatos ou representantes da entidade proponente, que sejam sócios, diretores ou administradores cônjuges/companheiros ou parentes de até segundo grau dos membros do Conselho Estadual de Preservação do Patrimônio Cultural - CEPPC, ou ainda do quadro de funcionários da Fundarpe e Secult-PE, incluindo-se o(a)s bolsistas, o(a)s ocupantes de cargos comissionados e demais profissionais que tenham vínculos diretos com a Fundarpe e Secult-PE. </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IX. No caso de Entidade Proponente, que sejam membros das diretorias executivas ou órgão equivalente (conforme definição em estatuto, contrato ou documento de constituição equivalente), ocupem assento no Conselho Estadual de Preservação do Patrimônio Cultural - CEPPC, restando impedida de apresentar candidaturas de pessoa natural ou grupo neste Edital.</w:t>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shd w:fill="9cc3e5" w:val="clear"/>
            <w:tcMar>
              <w:top w:w="0.0" w:type="dxa"/>
              <w:left w:w="70.0" w:type="dxa"/>
              <w:bottom w:w="0.0" w:type="dxa"/>
              <w:right w:w="70.0" w:type="dxa"/>
            </w:tcMar>
          </w:tcPr>
          <w:p w:rsidR="00000000" w:rsidDel="00000000" w:rsidP="00000000" w:rsidRDefault="00000000" w:rsidRPr="00000000" w14:paraId="0000003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LOCAL E DATA</w:t>
            </w:r>
          </w:p>
        </w:tc>
        <w:tc>
          <w:tcPr>
            <w:gridSpan w:val="2"/>
            <w:tcBorders>
              <w:top w:color="000000" w:space="0" w:sz="4" w:val="single"/>
              <w:left w:color="000000" w:space="0" w:sz="4" w:val="single"/>
              <w:bottom w:color="000000" w:space="0" w:sz="4" w:val="single"/>
              <w:right w:color="000000" w:space="0" w:sz="4" w:val="single"/>
            </w:tcBorders>
            <w:shd w:fill="9cc3e5" w:val="clear"/>
            <w:tcMar>
              <w:top w:w="0.0" w:type="dxa"/>
              <w:left w:w="70.0" w:type="dxa"/>
              <w:bottom w:w="0.0" w:type="dxa"/>
              <w:right w:w="70.0" w:type="dxa"/>
            </w:tcMar>
          </w:tcPr>
          <w:p w:rsidR="00000000" w:rsidDel="00000000" w:rsidP="00000000" w:rsidRDefault="00000000" w:rsidRPr="00000000" w14:paraId="0000003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ASSINATURA DO RESPONSÁVEL PELA ENTIDADE PROPONENTE </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3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jc w:val="center"/>
              <w:rPr>
                <w:rFonts w:ascii="Times New Roman" w:cs="Times New Roman" w:eastAsia="Times New Roman" w:hAnsi="Times New Roman"/>
                <w:b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36">
            <w:pPr>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594" w:hRule="atLeast"/>
          <w:tblHeader w:val="0"/>
        </w:trPr>
        <w:tc>
          <w:tcPr>
            <w:tcBorders>
              <w:top w:color="000000" w:space="0" w:sz="4" w:val="single"/>
              <w:left w:color="000000" w:space="0" w:sz="4" w:val="single"/>
              <w:bottom w:color="000000" w:space="0" w:sz="4" w:val="single"/>
              <w:right w:color="000000" w:space="0" w:sz="4" w:val="single"/>
            </w:tcBorders>
            <w:shd w:fill="9cc3e5" w:val="clear"/>
            <w:tcMar>
              <w:top w:w="0.0" w:type="dxa"/>
              <w:left w:w="70.0" w:type="dxa"/>
              <w:bottom w:w="0.0" w:type="dxa"/>
              <w:right w:w="70.0" w:type="dxa"/>
            </w:tcMar>
          </w:tcPr>
          <w:p w:rsidR="00000000" w:rsidDel="00000000" w:rsidP="00000000" w:rsidRDefault="00000000" w:rsidRPr="00000000" w14:paraId="00000038">
            <w:pPr>
              <w:tabs>
                <w:tab w:val="center" w:leader="none" w:pos="2557"/>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LOCAL E DATA </w:t>
              <w:tab/>
            </w:r>
          </w:p>
        </w:tc>
        <w:tc>
          <w:tcPr>
            <w:gridSpan w:val="2"/>
            <w:tcBorders>
              <w:top w:color="000000" w:space="0" w:sz="4" w:val="single"/>
              <w:left w:color="000000" w:space="0" w:sz="4" w:val="single"/>
              <w:bottom w:color="000000" w:space="0" w:sz="4" w:val="single"/>
              <w:right w:color="000000" w:space="0" w:sz="4" w:val="single"/>
            </w:tcBorders>
            <w:shd w:fill="9cc3e5" w:val="clear"/>
            <w:tcMar>
              <w:top w:w="0.0" w:type="dxa"/>
              <w:left w:w="70.0" w:type="dxa"/>
              <w:bottom w:w="0.0" w:type="dxa"/>
              <w:right w:w="70.0" w:type="dxa"/>
            </w:tcMar>
          </w:tcPr>
          <w:p w:rsidR="00000000" w:rsidDel="00000000" w:rsidP="00000000" w:rsidRDefault="00000000" w:rsidRPr="00000000" w14:paraId="0000003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ASSINATURA DO (A) CANDIDATO(A) OU REPRESENTANTE DO GRUPO CANDIDATO</w:t>
            </w:r>
          </w:p>
        </w:tc>
      </w:tr>
      <w:tr>
        <w:trPr>
          <w:cantSplit w:val="0"/>
          <w:trHeight w:val="594"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70.0" w:type="dxa"/>
              <w:bottom w:w="0.0" w:type="dxa"/>
              <w:right w:w="70.0" w:type="dxa"/>
            </w:tcMar>
          </w:tcPr>
          <w:p w:rsidR="00000000" w:rsidDel="00000000" w:rsidP="00000000" w:rsidRDefault="00000000" w:rsidRPr="00000000" w14:paraId="0000003B">
            <w:pPr>
              <w:tabs>
                <w:tab w:val="center" w:leader="none" w:pos="2557"/>
              </w:tabs>
              <w:rPr>
                <w:rFonts w:ascii="Times New Roman" w:cs="Times New Roman" w:eastAsia="Times New Roman" w:hAnsi="Times New Roman"/>
                <w:b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top w:w="0.0" w:type="dxa"/>
              <w:left w:w="70.0" w:type="dxa"/>
              <w:bottom w:w="0.0" w:type="dxa"/>
              <w:right w:w="70.0" w:type="dxa"/>
            </w:tcMar>
          </w:tcPr>
          <w:p w:rsidR="00000000" w:rsidDel="00000000" w:rsidP="00000000" w:rsidRDefault="00000000" w:rsidRPr="00000000" w14:paraId="0000003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41">
      <w:pPr>
        <w:jc w:val="center"/>
        <w:rPr>
          <w:rFonts w:ascii="Times New Roman" w:cs="Times New Roman" w:eastAsia="Times New Roman" w:hAnsi="Times New Roman"/>
          <w:sz w:val="24"/>
          <w:szCs w:val="24"/>
        </w:rPr>
      </w:pPr>
      <w:bookmarkStart w:colFirst="0" w:colLast="0" w:name="_heading=h.c7mt46v8ew6p" w:id="2"/>
      <w:bookmarkEnd w:id="2"/>
      <w:r w:rsidDel="00000000" w:rsidR="00000000" w:rsidRPr="00000000">
        <w:rPr>
          <w:rtl w:val="0"/>
        </w:rPr>
      </w:r>
    </w:p>
    <w:p w:rsidR="00000000" w:rsidDel="00000000" w:rsidP="00000000" w:rsidRDefault="00000000" w:rsidRPr="00000000" w14:paraId="00000042">
      <w:pPr>
        <w:spacing w:after="0" w:lineRule="auto"/>
        <w:jc w:val="center"/>
        <w:rPr>
          <w:b w:val="1"/>
        </w:rPr>
      </w:pPr>
      <w:r w:rsidDel="00000000" w:rsidR="00000000" w:rsidRPr="00000000">
        <w:rPr>
          <w:rtl w:val="0"/>
        </w:rPr>
      </w:r>
    </w:p>
    <w:p w:rsidR="00000000" w:rsidDel="00000000" w:rsidP="00000000" w:rsidRDefault="00000000" w:rsidRPr="00000000" w14:paraId="00000043">
      <w:pPr>
        <w:spacing w:after="0" w:lineRule="auto"/>
        <w:jc w:val="center"/>
        <w:rPr>
          <w:b w:val="1"/>
        </w:rPr>
      </w:pPr>
      <w:r w:rsidDel="00000000" w:rsidR="00000000" w:rsidRPr="00000000">
        <w:rPr>
          <w:rtl w:val="0"/>
        </w:rPr>
      </w:r>
    </w:p>
    <w:p w:rsidR="00000000" w:rsidDel="00000000" w:rsidP="00000000" w:rsidRDefault="00000000" w:rsidRPr="00000000" w14:paraId="00000044">
      <w:pPr>
        <w:ind w:right="-1695"/>
        <w:jc w:val="center"/>
        <w:rPr>
          <w:b w:val="1"/>
        </w:rPr>
      </w:pPr>
      <w:r w:rsidDel="00000000" w:rsidR="00000000" w:rsidRPr="00000000">
        <w:rPr>
          <w:rtl w:val="0"/>
        </w:rPr>
      </w:r>
    </w:p>
    <w:sectPr>
      <w:headerReference r:id="rId7" w:type="default"/>
      <w:pgSz w:h="16838" w:w="11906" w:orient="portrait"/>
      <w:pgMar w:bottom="1417" w:top="1134"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jc w:val="right"/>
      <w:rPr/>
    </w:pPr>
    <w:r w:rsidDel="00000000" w:rsidR="00000000" w:rsidRPr="00000000">
      <w:rPr>
        <w:rFonts w:ascii="Times New Roman" w:cs="Times New Roman" w:eastAsia="Times New Roman" w:hAnsi="Times New Roman"/>
        <w:sz w:val="20"/>
        <w:szCs w:val="20"/>
      </w:rPr>
      <w:drawing>
        <wp:inline distB="114300" distT="114300" distL="114300" distR="114300">
          <wp:extent cx="5399730" cy="5334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399730" cy="533400"/>
                  </a:xfrm>
                  <a:prstGeom prst="rect"/>
                  <a:ln/>
                </pic:spPr>
              </pic:pic>
            </a:graphicData>
          </a:graphic>
        </wp:inline>
      </w:drawing>
    </w:r>
    <w:r w:rsidDel="00000000" w:rsidR="00000000" w:rsidRPr="00000000">
      <w:rPr>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Cabealho">
    <w:name w:val="header"/>
    <w:basedOn w:val="Normal"/>
    <w:link w:val="CabealhoChar"/>
    <w:uiPriority w:val="99"/>
    <w:unhideWhenUsed w:val="1"/>
    <w:rsid w:val="00132858"/>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132858"/>
  </w:style>
  <w:style w:type="paragraph" w:styleId="Rodap">
    <w:name w:val="footer"/>
    <w:basedOn w:val="Normal"/>
    <w:link w:val="RodapChar"/>
    <w:uiPriority w:val="99"/>
    <w:unhideWhenUsed w:val="1"/>
    <w:rsid w:val="00132858"/>
    <w:pPr>
      <w:tabs>
        <w:tab w:val="center" w:pos="4252"/>
        <w:tab w:val="right" w:pos="8504"/>
      </w:tabs>
      <w:spacing w:after="0" w:line="240" w:lineRule="auto"/>
    </w:pPr>
  </w:style>
  <w:style w:type="character" w:styleId="RodapChar" w:customStyle="1">
    <w:name w:val="Rodapé Char"/>
    <w:basedOn w:val="Fontepargpadro"/>
    <w:link w:val="Rodap"/>
    <w:uiPriority w:val="99"/>
    <w:rsid w:val="00132858"/>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UdBk4UV11sTQ7cxOxhk2oqwfoQ==">CgMxLjAyCGguZ2pkZ3hzMgloLjMwajB6bGwyDmguYzdtdDQ2djhldzZwOAByITEzcndVTTZ0TlZnSE5GSmxCLXlqLXpid0NNWlRNemZIbw==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2025-01-07T17:16:00Z</dcterms:created>
  <dc:creator>Julia de Araujo Bernardes</dc:creator>
</cp:coreProperties>
</file>