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04.C - TERMO DE AUTORIZAÇÃO DE USO DE IMAGEM E DE LICENÇA DE DIREITOS AUTORAIS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E DECLARAÇÃO DE EXCLUSIVIDADE  - 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(BANDAS, GRUPOS, COLETIVOS) - REPRESENTADOS POR PESSOA FÍSICA QUE FAZ PARTE DO GRUPO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NÓS do(a) (</w:t>
      </w:r>
      <w:r w:rsidDel="00000000" w:rsidR="00000000" w:rsidRPr="00000000">
        <w:rPr>
          <w:color w:val="ff0000"/>
          <w:highlight w:val="white"/>
          <w:rtl w:val="0"/>
        </w:rPr>
        <w:t xml:space="preserve">nome do grupo, coletivo, etc.</w:t>
      </w:r>
      <w:r w:rsidDel="00000000" w:rsidR="00000000" w:rsidRPr="00000000">
        <w:rPr>
          <w:highlight w:val="white"/>
          <w:rtl w:val="0"/>
        </w:rPr>
        <w:t xml:space="preserve">),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); e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abaixo assinados, declaramos para os devidos fins que AUTORIZAMOS o uso de nossa imagem e som conforme fixação do evento objeto deste instrumento, bem como os direitos autorais conexos referentes à apresentação artística,</w:t>
        <w:tab/>
        <w:t xml:space="preserve"> à Fundação do Patrimônio Histórico e Artístico de Pernambuco - FUNDARPE, a Empresa de Turismo de Pernambuco – EMPETUR, a Secretaria de Cultura de Pernambuco - SECULT e à Empresa Pernambucana de Comunicação - EPC.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FUNDARPE/EMPETUR/SECULT/EPC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engloba a transmissão televisiva e digital, ao vivo ou gravada, da apresentação artística pela EMPRESA PERNAMBUCO DE COMUNICAÇÃO S/A – EPC, incluindo sua veiculação por meio de emissoras de televisão, rádio, plataformas digitais, redes sociais, serviços de streaming, sites institucionais e demais canais de comunicação, por ela administrados, operados ou autorizados.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autorizadores concede à FUNDARPE/EMPETUR/SECULT/EPC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FUNDARPE/EMPETUR/SECULT/EPC os direitos patrimoniais ou autorais plenos, sendo o uso restrito às condições deste instrumento.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é concedida de forma gratuita, sem quaisquer ônus financeiros à FUNDARPE/EMPETUR/SECULT/EPC. Os autorizadores declaram, também, que detém os poderes necessários para a liberação dos direitos aqui concedidos e que assumem plena responsabilidade por eventuais reivindicações de terceiros sobre os direitos de imagem e som autorizados neste termo. Os autorizadores comprometem-se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FUNDARPE/EMPETUR/SECULT/EPC 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No que tange à exclusividade, a atração artística DECLARA SOB AS PENAS DA LEI, por meio de seu(s) integrante(s) e/ou representante legal que assina(m) esse instrumento jurídico particular, em atendimento à determinação contida no Processo TCE-PE Nº 1408248-2, que não possui outro representante além da/e/o (nome da pessoa física que faz parte do grupo, conforme Procuração.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</w:t>
      </w:r>
    </w:p>
    <w:p w:rsidR="00000000" w:rsidDel="00000000" w:rsidP="00000000" w:rsidRDefault="00000000" w:rsidRPr="00000000" w14:paraId="0000000B">
      <w:pPr>
        <w:keepNext w:val="1"/>
        <w:keepLines w:val="1"/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spacing w:line="310.7999999999999" w:lineRule="auto"/>
      <w:jc w:val="center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jc w:val="center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left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1"/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rFonts w:ascii="Arial" w:cs="Arial" w:eastAsia="Arial" w:hAnsi="Arial"/>
      </w:rPr>
    </w:pPr>
    <w:r w:rsidDel="00000000" w:rsidR="00000000" w:rsidRPr="00000000">
      <w:rPr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