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  <w:br w:type="textWrapping"/>
        <w:t xml:space="preserve">PROCEDIMENTO DE HETEROIDENTIFICAÇÃO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numPr>
          <w:ilvl w:val="0"/>
          <w:numId w:val="1"/>
        </w:numPr>
        <w:spacing w:after="0" w:before="0" w:lineRule="auto"/>
        <w:ind w:left="425.19685039370086" w:hanging="360"/>
        <w:jc w:val="both"/>
        <w:rPr>
          <w:b w:val="1"/>
          <w:bCs w:val="1"/>
          <w:sz w:val="24"/>
          <w:szCs w:val="24"/>
        </w:rPr>
      </w:pPr>
      <w:bookmarkStart w:colFirst="0" w:colLast="0" w:name="_hol40ya70u31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PROCEDIMENTO DE HETEROIDENTIFICAÇÃO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x09lnfb1uxnt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Objeto e Finalidade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x9ydc3t5thmb" w:id="2"/>
      <w:bookmarkEnd w:id="2"/>
      <w:r w:rsidDel="00000000" w:rsidR="00000000" w:rsidRPr="00000000">
        <w:rPr>
          <w:sz w:val="24"/>
          <w:szCs w:val="24"/>
          <w:rtl w:val="0"/>
        </w:rPr>
        <w:t xml:space="preserve">O Procedimento de Heteroidentificação tem por finalidade confirmar por terceiros a autodeclaração dos candidatos(as) que tendo se autodeclarados(as) negros (pretos ou pardos) requerem acesso às políticas afirmativas de reserva de vagas e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0" w:before="0" w:lineRule="auto"/>
        <w:ind w:left="992.1259842519685" w:firstLine="0"/>
        <w:jc w:val="both"/>
        <w:rPr>
          <w:sz w:val="24"/>
          <w:szCs w:val="24"/>
        </w:rPr>
      </w:pPr>
      <w:bookmarkStart w:colFirst="0" w:colLast="0" w:name="_x9ydc3t5thmb" w:id="2"/>
      <w:bookmarkEnd w:id="2"/>
      <w:r w:rsidDel="00000000" w:rsidR="00000000" w:rsidRPr="00000000">
        <w:rPr>
          <w:sz w:val="24"/>
          <w:szCs w:val="24"/>
          <w:rtl w:val="0"/>
        </w:rPr>
        <w:t xml:space="preserve">indução (pontuação extra) para pessoas negras nos editais públicos da Secretaria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0" w:before="0" w:lineRule="auto"/>
        <w:ind w:left="992.1259842519685" w:firstLine="0"/>
        <w:jc w:val="both"/>
        <w:rPr>
          <w:sz w:val="24"/>
          <w:szCs w:val="24"/>
        </w:rPr>
      </w:pPr>
      <w:bookmarkStart w:colFirst="0" w:colLast="0" w:name="_swp7pqd16lfn" w:id="3"/>
      <w:bookmarkEnd w:id="3"/>
      <w:r w:rsidDel="00000000" w:rsidR="00000000" w:rsidRPr="00000000">
        <w:rPr>
          <w:sz w:val="24"/>
          <w:szCs w:val="24"/>
          <w:rtl w:val="0"/>
        </w:rPr>
        <w:t xml:space="preserve">de Cultura do Estado de Pernambuco (SECULT-PE).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z7vhre60k2q" w:id="4"/>
      <w:bookmarkEnd w:id="4"/>
      <w:r w:rsidDel="00000000" w:rsidR="00000000" w:rsidRPr="00000000">
        <w:rPr>
          <w:sz w:val="24"/>
          <w:szCs w:val="24"/>
          <w:rtl w:val="0"/>
        </w:rPr>
        <w:t xml:space="preserve">A avaliação realizada no Procedimento de Heteroidentificação será baseada exclusivamente em critérios fenotípicos, observando o conjunto de características físicas visíveis que possibilitam o reconhecimento social do(a) candidato(a) como pessoa negra, não sendo considerados elementos relacionados à ascendência, ancestralidade ou autopercepção.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2grn6cmiq0al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 Destinatários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aeo5578alypn" w:id="6"/>
      <w:bookmarkEnd w:id="6"/>
      <w:r w:rsidDel="00000000" w:rsidR="00000000" w:rsidRPr="00000000">
        <w:rPr>
          <w:sz w:val="24"/>
          <w:szCs w:val="24"/>
          <w:rtl w:val="0"/>
        </w:rPr>
        <w:t xml:space="preserve">O procedimento de heteroidentificação aplica-se a todas as pessoas que optarem por concorrer utilizando a reserva de vagas para pessoas negras ou pleiteando indução (pontuação extra) referente ao indutor pessoa negra nos processos seletivos de fomento e chamamento público da SECULT-PE.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kcl9ejoq2m8u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Das Definições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qezajuifpxib" w:id="8"/>
      <w:bookmarkEnd w:id="8"/>
      <w:r w:rsidDel="00000000" w:rsidR="00000000" w:rsidRPr="00000000">
        <w:rPr>
          <w:sz w:val="24"/>
          <w:szCs w:val="24"/>
          <w:rtl w:val="0"/>
        </w:rPr>
        <w:t xml:space="preserve">Considera-se, para fins deste procedimento, o seguinte: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Fenótipo:</w:t>
      </w:r>
      <w:r w:rsidDel="00000000" w:rsidR="00000000" w:rsidRPr="00000000">
        <w:rPr>
          <w:sz w:val="24"/>
          <w:szCs w:val="24"/>
          <w:rtl w:val="0"/>
        </w:rPr>
        <w:t xml:space="preserve"> conjunto de características físicas visíveis, tais como cor da pele, textura do cabelo, formato do nariz, tamanho da boca e formato do rosto, em sua combinação e interação, que possibilitam o reconhecimento social da pessoa como pertencente ao grupo racial negro.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Reconhecimento social na condição de pessoa negra:</w:t>
      </w:r>
      <w:r w:rsidDel="00000000" w:rsidR="00000000" w:rsidRPr="00000000">
        <w:rPr>
          <w:sz w:val="24"/>
          <w:szCs w:val="24"/>
          <w:rtl w:val="0"/>
        </w:rPr>
        <w:t xml:space="preserve"> percepção, nas relações sociais, que atribui o pertencimento racial negro ao indivíduo, o que pode gerar impedimentos e discriminações no acesso a bens, serviços e oportunidades.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sca5i0mvqyuf" w:id="9"/>
      <w:bookmarkEnd w:id="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 Comissão de Heteroidentificação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z04cydd1s3y3" w:id="10"/>
      <w:bookmarkEnd w:id="10"/>
      <w:r w:rsidDel="00000000" w:rsidR="00000000" w:rsidRPr="00000000">
        <w:rPr>
          <w:sz w:val="24"/>
          <w:szCs w:val="24"/>
          <w:rtl w:val="0"/>
        </w:rPr>
        <w:t xml:space="preserve">A Comissão de Heteroidentificação será composta por, no mínimo, três membros(as), de reputação ilibada e de nacionalidade brasileira, deverá atender ao critério da diversidade de gênero e étnico-racial, tendo como maioria pessoas negras, e com notório saber e experiência comprovada nas temáticas étnico-raciais ou outras dimensões previstas nesta política.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l8fwg33h2y37" w:id="11"/>
      <w:bookmarkEnd w:id="11"/>
      <w:r w:rsidDel="00000000" w:rsidR="00000000" w:rsidRPr="00000000">
        <w:rPr>
          <w:sz w:val="24"/>
          <w:szCs w:val="24"/>
          <w:rtl w:val="0"/>
        </w:rPr>
        <w:t xml:space="preserve">Compete à Comissão: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Avaliar o conjunto fenotípico dos(as) candidatos(as) mediante análise dos documentos visuais (fotografias e/ou vídeos) anexados ao formulário de inscrição;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Emitir parecer quanto ao reconhecimento institucional da autodeclaração de pessoa negra do(a) candidato(a);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– Atuar como instrumento de fiscalização e garantia da lisura no acesso às políticas afirmativas, prevenindo fraudes;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– Zelar para que a reparação histórica e distribuição de recursos atinjam os grupos sociais e étnico-raciais historicamente minorizados.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yi4en8bpn96f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Procedimento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um7iecs3igaz" w:id="13"/>
      <w:bookmarkEnd w:id="13"/>
      <w:r w:rsidDel="00000000" w:rsidR="00000000" w:rsidRPr="00000000">
        <w:rPr>
          <w:sz w:val="24"/>
          <w:szCs w:val="24"/>
          <w:rtl w:val="0"/>
        </w:rPr>
        <w:t xml:space="preserve">O procedimento de heteroidentificação, que compreende a análise fenotípica dos documentos visuais dos(as) candidatos(as) submetidos durante a inscrição, será realizado em etapas e prazos flexíveis definidos em cada edital público da SECULT-PE, visando à otimização do cronograma. As denúncias e seus respectivos trâmites observarão os períodos e condições estipulados nos itens 1.8.1 e 1.8.2 deste regulamento.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eznvkd7la55s" w:id="14"/>
      <w:bookmarkEnd w:id="14"/>
      <w:r w:rsidDel="00000000" w:rsidR="00000000" w:rsidRPr="00000000">
        <w:rPr>
          <w:sz w:val="24"/>
          <w:szCs w:val="24"/>
          <w:rtl w:val="0"/>
        </w:rPr>
        <w:t xml:space="preserve">O procedimento poderá ser realizado de forma presencial ou virtual, assegurando sigilo, ética e imparcialidade.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c59e0yiwkz5" w:id="15"/>
      <w:bookmarkEnd w:id="15"/>
      <w:r w:rsidDel="00000000" w:rsidR="00000000" w:rsidRPr="00000000">
        <w:rPr>
          <w:sz w:val="24"/>
          <w:szCs w:val="24"/>
          <w:rtl w:val="0"/>
        </w:rPr>
        <w:t xml:space="preserve">O deferimento no Procedimento de Heteroidentificação ocorrerá mediante reconhecimento da autodeclaração de pessoa negra por unanimidade ou pela maioria dos membros da Comissão de Heteroidentificação.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992.1259842519685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avaliação será pautada no reconhecimento social do fenótipo, observando aspectos como: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I) Cor da pele (escura ou em tons escurecidos);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II) Textura do cabelo (crespo, fio grosso, cacheado);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III) Características faciais (nariz de base larga, narinas amplas, lábios grossos ou com contorno escuro, mucosas labiais escurecidas, dentes proeminentes, rosto com maxilar largo) e demais características físicas visíveis que possam localizar socialmente a pessoa candidata a condição de desvantagem racial associada ao processo histórico do racismo no Brasil.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992.1259842519685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serão considerados para fins de avaliação: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Elementos relacionados à ancestralidade, origem genealógica ou autopercepção racial;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Documentos externos emitidos por terceiros ou por outros órgãos públicos, inclusive comprovações oriundas de outros processos seletivos.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992.1259842519685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resultado terá validade para os processos seletivos que envolvem reserva de vagas para pessoas negras e pontuação extra por indutor racial, restrito aos editais em que foi aplicada a avaliação.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vkhjp7vg4snp" w:id="16"/>
      <w:bookmarkEnd w:id="1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 Recursos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45kamnwdcbae" w:id="17"/>
      <w:bookmarkEnd w:id="17"/>
      <w:r w:rsidDel="00000000" w:rsidR="00000000" w:rsidRPr="00000000">
        <w:rPr>
          <w:sz w:val="24"/>
          <w:szCs w:val="24"/>
          <w:rtl w:val="0"/>
        </w:rPr>
        <w:t xml:space="preserve">O(a) candidato(a) poderá interpor recurso contra a decisão da Comissão de Heteroidentificação no prazo de 3 (três) dias úteis após a publicação do resultado.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dhwctj9871xu" w:id="18"/>
      <w:bookmarkEnd w:id="18"/>
      <w:r w:rsidDel="00000000" w:rsidR="00000000" w:rsidRPr="00000000">
        <w:rPr>
          <w:sz w:val="24"/>
          <w:szCs w:val="24"/>
          <w:rtl w:val="0"/>
        </w:rPr>
        <w:t xml:space="preserve">O recurso será encaminhado à Comissão Recursal de Heteroidentificação, composta por membros distintos dos integrantes da Comissão de Heteroidentificação inicial. Esta Comissão Recursal será composta por, no mínimo, três membros(as), de reputação ilibada e de nacionalidade brasileira, deverá atender ao critério da diversidade de gênero e étnico-racial, tendo como maioria pessoas negras, e com notório saber e experiência comprovada nas temáticas étnico-raciais ou outras dimensões previstas nesta política.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d65wgh6okmc" w:id="19"/>
      <w:bookmarkEnd w:id="19"/>
      <w:r w:rsidDel="00000000" w:rsidR="00000000" w:rsidRPr="00000000">
        <w:rPr>
          <w:sz w:val="24"/>
          <w:szCs w:val="24"/>
          <w:rtl w:val="0"/>
        </w:rPr>
        <w:t xml:space="preserve">Durante o prazo para interposição do recurso, não será admitida a apresentação de documentação complementar.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yfbzi8wy2ef8" w:id="20"/>
      <w:bookmarkEnd w:id="20"/>
      <w:r w:rsidDel="00000000" w:rsidR="00000000" w:rsidRPr="00000000">
        <w:rPr>
          <w:sz w:val="24"/>
          <w:szCs w:val="24"/>
          <w:rtl w:val="0"/>
        </w:rPr>
        <w:t xml:space="preserve">O não exercício do direito de recurso no prazo estabelecido implicará na manutenção da decisão da banca, e a exclusão definitiva do(a) candidato(a) da condição de beneficiário(a) das políticas afirmativas previstas.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6wyy0d36uv5v" w:id="21"/>
      <w:bookmarkEnd w:id="21"/>
      <w:r w:rsidDel="00000000" w:rsidR="00000000" w:rsidRPr="00000000">
        <w:rPr>
          <w:sz w:val="24"/>
          <w:szCs w:val="24"/>
          <w:rtl w:val="0"/>
        </w:rPr>
        <w:t xml:space="preserve">As decisões da Comissão Recursal de Heteroidentificação são definitivas e irrecorríveis.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9ggn3l5peyfi" w:id="22"/>
      <w:bookmarkEnd w:id="2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Das Consequências do Indeferimento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kq92xatsv80v" w:id="23"/>
      <w:bookmarkEnd w:id="23"/>
      <w:r w:rsidDel="00000000" w:rsidR="00000000" w:rsidRPr="00000000">
        <w:rPr>
          <w:sz w:val="24"/>
          <w:szCs w:val="24"/>
          <w:rtl w:val="0"/>
        </w:rPr>
        <w:t xml:space="preserve">O indeferimento do Procedimento de Heteroidentificação implica, quando não se identificar má fé: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Inscrição automática do(a) candidato(a) na ampla concorrência, sem direito à reserva de vagas para pessoas negras;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Não recebimento de pontuação extra referente ao indutor racial pessoa negra.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ind w:left="1417.3228346456694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fins deste procedimento, a simples divergência entre a autodeclaração do(a) candidato(a) e a avaliação da Comissão de Heteroidentificação não caracterizará má-fé. Essa situação é classificada como não reconhecimento fenotípico para fins de política afirmativa. Isso abrange casos em que a autodeclaração pode ter sido baseada em elementos como ancestralidade, origem genealógica ou autopercepção racial, que, conforme o item 1.5.5, não são considerados pela Comissão para a avaliação fenotípica.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1417.3228346456694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má-fé, por sua vez, será caracterizada pela intenção comprovada do(a) candidato(a) de ludibriar o processo de heteroidentificação para obter vantagem indevida, mesmo ciente de não possuir o conjunto de características fenotípicas que o(a) qualificam socialmente como pessoa negra. Consideram-se exemplos de atos que podem evidenciar má-fé: a adulteração de documentos, a manipulação de imagens ou vídeos, ou a prestação de informações falsas no ato de inscrição. A identificação de má fé pela Comissão deve ser devidamente fundamentada, após análise de elementos que comprovem a tentativa deliberada de fraude, sem prejuízo das demais sanções administrativas e legais aplicáveis.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6hcvt1z6gevz" w:id="24"/>
      <w:bookmarkEnd w:id="2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Das Denúncias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5kxun19cpfz7" w:id="25"/>
      <w:bookmarkEnd w:id="25"/>
      <w:r w:rsidDel="00000000" w:rsidR="00000000" w:rsidRPr="00000000">
        <w:rPr>
          <w:sz w:val="24"/>
          <w:szCs w:val="24"/>
          <w:rtl w:val="0"/>
        </w:rPr>
        <w:t xml:space="preserve">Os editais públicos de fomento e chamamento da Secretaria de Cultura do Estado de Pernambuco (SECULT-PE) informarão os canais de denúncia pelos quais contestações e possíveis irregularidades referentes ao Procedimento de Heteroidentificação poderão ser apresentadas, bem como à Ouvidoria do Estado (</w:t>
      </w:r>
      <w:hyperlink r:id="rId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ouve.pe.gov.br</w:t>
        </w:r>
      </w:hyperlink>
      <w:r w:rsidDel="00000000" w:rsidR="00000000" w:rsidRPr="00000000">
        <w:rPr>
          <w:sz w:val="24"/>
          <w:szCs w:val="24"/>
          <w:rtl w:val="0"/>
        </w:rPr>
        <w:t xml:space="preserve">). Tais denúncias poderão ser registradas durante todo o período de vigência do edital, até a conclusão da fase de recebimento dos recursos e/ou prestação de contas.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5c1dzk5xu1ka" w:id="26"/>
      <w:bookmarkEnd w:id="26"/>
      <w:r w:rsidDel="00000000" w:rsidR="00000000" w:rsidRPr="00000000">
        <w:rPr>
          <w:sz w:val="24"/>
          <w:szCs w:val="24"/>
          <w:rtl w:val="0"/>
        </w:rPr>
        <w:t xml:space="preserve">Após a fase de recebimento dos recursos e/ou prestação de contas, novas denúncias só serão admitidas por determinação administrativa ou judicial devidamente fundamentada.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numPr>
          <w:ilvl w:val="1"/>
          <w:numId w:val="1"/>
        </w:numPr>
        <w:spacing w:after="0" w:before="0" w:lineRule="auto"/>
        <w:ind w:left="708.6614173228347" w:hanging="360"/>
        <w:jc w:val="both"/>
        <w:rPr>
          <w:b w:val="1"/>
          <w:bCs w:val="1"/>
          <w:sz w:val="24"/>
          <w:szCs w:val="24"/>
        </w:rPr>
      </w:pPr>
      <w:bookmarkStart w:colFirst="0" w:colLast="0" w:name="_25f0x4l3kqi1" w:id="27"/>
      <w:bookmarkEnd w:id="2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 Motivos para Indeferimento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numPr>
          <w:ilvl w:val="2"/>
          <w:numId w:val="1"/>
        </w:numPr>
        <w:spacing w:after="0" w:before="0" w:lineRule="auto"/>
        <w:ind w:left="992.1259842519685" w:hanging="360"/>
        <w:jc w:val="both"/>
        <w:rPr>
          <w:b w:val="1"/>
          <w:bCs w:val="1"/>
          <w:sz w:val="24"/>
          <w:szCs w:val="24"/>
        </w:rPr>
      </w:pPr>
      <w:bookmarkStart w:colFirst="0" w:colLast="0" w:name="_7owujnbbhmq2" w:id="28"/>
      <w:bookmarkEnd w:id="28"/>
      <w:r w:rsidDel="00000000" w:rsidR="00000000" w:rsidRPr="00000000">
        <w:rPr>
          <w:sz w:val="24"/>
          <w:szCs w:val="24"/>
          <w:rtl w:val="0"/>
        </w:rPr>
        <w:t xml:space="preserve">A inscrição nas Políticas Afirmativas para pessoas Negras será indeferida caso o(a) candidato(a):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numPr>
          <w:ilvl w:val="3"/>
          <w:numId w:val="1"/>
        </w:numPr>
        <w:spacing w:after="0" w:before="0" w:lineRule="auto"/>
        <w:ind w:left="1417.3228346456694" w:hanging="360"/>
        <w:jc w:val="both"/>
        <w:rPr>
          <w:b w:val="1"/>
          <w:bCs w:val="1"/>
          <w:sz w:val="24"/>
          <w:szCs w:val="24"/>
        </w:rPr>
      </w:pPr>
      <w:bookmarkStart w:colFirst="0" w:colLast="0" w:name="_k5xmlnrptzny" w:id="29"/>
      <w:bookmarkEnd w:id="29"/>
      <w:r w:rsidDel="00000000" w:rsidR="00000000" w:rsidRPr="00000000">
        <w:rPr>
          <w:sz w:val="24"/>
          <w:szCs w:val="24"/>
          <w:rtl w:val="0"/>
        </w:rPr>
        <w:t xml:space="preserve">Não apresente os documentos necessários para avaliação (fotografias e vídeos);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numPr>
          <w:ilvl w:val="3"/>
          <w:numId w:val="1"/>
        </w:numPr>
        <w:spacing w:after="0" w:before="0" w:lineRule="auto"/>
        <w:ind w:left="1417.3228346456694" w:hanging="360"/>
        <w:jc w:val="both"/>
        <w:rPr>
          <w:b w:val="1"/>
          <w:bCs w:val="1"/>
          <w:sz w:val="24"/>
          <w:szCs w:val="24"/>
        </w:rPr>
      </w:pPr>
      <w:bookmarkStart w:colFirst="0" w:colLast="0" w:name="_xgvyehh96gjf" w:id="30"/>
      <w:bookmarkEnd w:id="30"/>
      <w:r w:rsidDel="00000000" w:rsidR="00000000" w:rsidRPr="00000000">
        <w:rPr>
          <w:sz w:val="24"/>
          <w:szCs w:val="24"/>
          <w:rtl w:val="0"/>
        </w:rPr>
        <w:t xml:space="preserve">Envie documentos em desacordo com as orientações estabelecidas para envio de fotografias e vídeo para pessoas negras;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numPr>
          <w:ilvl w:val="3"/>
          <w:numId w:val="1"/>
        </w:numPr>
        <w:spacing w:after="0" w:before="0" w:lineRule="auto"/>
        <w:ind w:left="1417.3228346456694" w:hanging="360"/>
        <w:jc w:val="both"/>
        <w:rPr>
          <w:b w:val="1"/>
          <w:bCs w:val="1"/>
          <w:sz w:val="24"/>
          <w:szCs w:val="24"/>
        </w:rPr>
      </w:pPr>
      <w:bookmarkStart w:colFirst="0" w:colLast="0" w:name="_eoso9bd66wzp" w:id="31"/>
      <w:bookmarkEnd w:id="31"/>
      <w:r w:rsidDel="00000000" w:rsidR="00000000" w:rsidRPr="00000000">
        <w:rPr>
          <w:sz w:val="24"/>
          <w:szCs w:val="24"/>
          <w:rtl w:val="0"/>
        </w:rPr>
        <w:t xml:space="preserve">Não atenda aos critérios fenotípicos definidos para validação da sua inscrição nas políticas afirmativas para pessoas negras.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708.6614173228347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Disposições Finais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992.1259842519685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Outras informações relativas ao Procedimento de Heteroidentificação serão estabelecidas de forma complementar em editais específicos, a serem oportunamente publicados pela Secretaria de Cultura, contendo o detalhamento necessário à sua plena execução.</w:t>
      </w:r>
    </w:p>
    <w:p w:rsidR="00000000" w:rsidDel="00000000" w:rsidP="00000000" w:rsidRDefault="00000000" w:rsidRPr="00000000" w14:paraId="00000039">
      <w:pPr>
        <w:ind w:left="992.125984251968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425.19685039370086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08.6614173228347" w:hanging="360.00000000000006"/>
      </w:pPr>
      <w:rPr>
        <w:u w:val="none"/>
      </w:rPr>
    </w:lvl>
    <w:lvl w:ilvl="2">
      <w:start w:val="1"/>
      <w:numFmt w:val="decimal"/>
      <w:lvlText w:val="%1.%2.%3."/>
      <w:lvlJc w:val="right"/>
      <w:pPr>
        <w:ind w:left="992.12598425196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7.3228346456694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uve.p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