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B88A" w14:textId="77777777" w:rsidR="00C0365B" w:rsidRDefault="00C036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rPr>
          <w:rFonts w:ascii="Calibri" w:eastAsia="Calibri" w:hAnsi="Calibri" w:cs="Calibri"/>
          <w:b/>
          <w:bCs/>
          <w:sz w:val="24"/>
          <w:szCs w:val="24"/>
        </w:rPr>
      </w:pPr>
    </w:p>
    <w:p w14:paraId="42B3466C" w14:textId="1E3E825D" w:rsidR="00C0365B" w:rsidRDefault="00000000">
      <w:pPr>
        <w:widowControl w:val="0"/>
        <w:spacing w:line="276" w:lineRule="auto"/>
        <w:ind w:left="34" w:right="28" w:firstLine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white"/>
        </w:rPr>
        <w:t>CHAMAMENTO PÚBLIC</w:t>
      </w:r>
      <w:r w:rsidR="00424A7B">
        <w:rPr>
          <w:rFonts w:ascii="Calibri" w:eastAsia="Calibri" w:hAnsi="Calibri" w:cs="Calibri"/>
          <w:b/>
          <w:bCs/>
          <w:sz w:val="28"/>
          <w:szCs w:val="28"/>
          <w:highlight w:val="white"/>
        </w:rPr>
        <w:t>O Nº 009</w:t>
      </w:r>
      <w:r>
        <w:rPr>
          <w:rFonts w:ascii="Calibri" w:eastAsia="Calibri" w:hAnsi="Calibri" w:cs="Calibri"/>
          <w:b/>
          <w:bCs/>
          <w:sz w:val="28"/>
          <w:szCs w:val="28"/>
          <w:highlight w:val="white"/>
        </w:rPr>
        <w:t>/2026</w:t>
      </w:r>
    </w:p>
    <w:p w14:paraId="72A1713A" w14:textId="77777777" w:rsidR="00C036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white"/>
        </w:rPr>
        <w:t>2º EDITAL PNAB DE FOMENTO AOS PONTOS DE CULTURA DE PERNAMBUCO</w:t>
      </w:r>
    </w:p>
    <w:p w14:paraId="3681AFAA" w14:textId="77777777" w:rsidR="00C036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283CCE52" w14:textId="77777777" w:rsidR="00C0365B" w:rsidRDefault="00000000">
      <w:pPr>
        <w:widowControl w:val="0"/>
        <w:spacing w:before="19" w:line="244" w:lineRule="auto"/>
        <w:ind w:left="867" w:right="855" w:firstLine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REDE ESTADUAL DE PONTOS DE CULTURA DE PERNAMBUCO</w:t>
      </w:r>
    </w:p>
    <w:p w14:paraId="3FC3F728" w14:textId="77777777" w:rsidR="00C036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ED8B6D" w14:textId="77777777" w:rsidR="00C036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30AC2E4" w14:textId="77777777" w:rsidR="00C0365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FOMENTO A PROJETOS CONTINUADOS DE PONTOS DE CULTURA</w:t>
      </w:r>
    </w:p>
    <w:p w14:paraId="0EE38D0F" w14:textId="77777777" w:rsidR="00C0365B" w:rsidRDefault="00C0365B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4AA71EF6" w14:textId="77777777" w:rsidR="00C0365B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bCs/>
          <w:smallCap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ANEXO 10 - DECLARAÇÃO CONJUNTA</w:t>
      </w:r>
    </w:p>
    <w:p w14:paraId="085BAB26" w14:textId="77777777" w:rsidR="00C0365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(Rubricar todas as páginas)</w:t>
      </w:r>
    </w:p>
    <w:p w14:paraId="3FC173DF" w14:textId="77777777" w:rsidR="00C0365B" w:rsidRDefault="00000000">
      <w:pPr>
        <w:shd w:val="clear" w:color="auto" w:fill="FFFFFF"/>
        <w:tabs>
          <w:tab w:val="left" w:pos="567"/>
        </w:tabs>
        <w:spacing w:before="240" w:after="120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 (nome do representante legal da Entidade Cultural), residente e domiciliado(a) em ___________________________ (endereço residencial do dirigente), portador(a) da Carteira de Identidade n° ___________, CPF n° ___________, responsável pela inscrição da entidade cultural ___________________________ (nome da entidade cultural), CNPJ nº ___________________________, no referido Edital de Seleção para ampliação e fortalecimento da Política Nacional de Cultura Viva,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B870C26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06E9FB5B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a Secretaria de Cultura de Pernambuco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595C74C0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4AF7C769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4 (“quem não pode participar do edital”);</w:t>
      </w:r>
    </w:p>
    <w:p w14:paraId="1EA9E2EF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Concordar em receber visita técnica e/ou participar de reunião, com a missão de acompanhar e monitorar a execução e os resultados Termo de Compromisso Cultural, caso a Secretaria de Cultura de Pernambuco e o Ministério da Cultura considerem apropriado;</w:t>
      </w:r>
    </w:p>
    <w:p w14:paraId="7673B1DA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4F7AFFE4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Possuir Capacidade Gerencial, Técnica e Operacional para o desenvolvimento e execução das atividades previstas no Plano de Trabalho, parte integrante do Termo de Compromisso Cultural, não ser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CB7A5DF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 w14:paraId="6C631FE5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1CB83C3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78A9525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4A88AD51" w14:textId="77777777" w:rsidR="00C0365B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Estar ciente que: </w:t>
      </w:r>
    </w:p>
    <w:p w14:paraId="786DE672" w14:textId="77777777" w:rsidR="00C0365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B2EA471" w14:textId="77777777" w:rsidR="00C0365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76754CC" w14:textId="77777777" w:rsidR="00C0365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122CF678" w14:textId="77777777" w:rsidR="00C0365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das regras de democratização dos recursos:</w:t>
      </w:r>
    </w:p>
    <w:p w14:paraId="61F823B2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  <w:color w:val="555555"/>
        </w:rPr>
      </w:pPr>
      <w:hyperlink r:id="rId8">
        <w:r>
          <w:rPr>
            <w:rFonts w:ascii="Calibri" w:eastAsia="Calibri" w:hAnsi="Calibri" w:cs="Calibri"/>
            <w:i/>
            <w:iCs/>
            <w:color w:val="1155CC"/>
            <w:u w:val="single"/>
          </w:rPr>
          <w:t xml:space="preserve">Instrução Normativa MinC nº  1/2015, art. 21, </w:t>
        </w:r>
      </w:hyperlink>
      <w:hyperlink r:id="rId9">
        <w:r>
          <w:rPr>
            <w:rFonts w:ascii="Calibri" w:eastAsia="Calibri" w:hAnsi="Calibri" w:cs="Calibri"/>
            <w:i/>
            <w:iCs/>
            <w:color w:val="1155CC"/>
            <w:highlight w:val="white"/>
            <w:u w:val="single"/>
          </w:rPr>
          <w:t>§ 3º:</w:t>
        </w:r>
      </w:hyperlink>
    </w:p>
    <w:p w14:paraId="077E5629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>
        <w:rPr>
          <w:rFonts w:ascii="Calibri" w:eastAsia="Calibri" w:hAnsi="Calibri" w:cs="Calibri"/>
          <w:b/>
          <w:bCs/>
          <w:i/>
          <w:iCs/>
        </w:rPr>
        <w:t>salvo quando:</w:t>
      </w:r>
    </w:p>
    <w:p w14:paraId="14BC04FD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a) no ato de formalização do segundo TCC, </w:t>
      </w:r>
      <w:r>
        <w:rPr>
          <w:rFonts w:ascii="Calibri" w:eastAsia="Calibri" w:hAnsi="Calibri" w:cs="Calibri"/>
          <w:b/>
          <w:bCs/>
          <w:i/>
          <w:iCs/>
        </w:rPr>
        <w:t>a entidade não tenha parcelas para receber e já tenha executado mais da metade do cronograma relacionado à última parcela do TCC ativo</w:t>
      </w:r>
      <w:r>
        <w:rPr>
          <w:rFonts w:ascii="Calibri" w:eastAsia="Calibri" w:hAnsi="Calibri" w:cs="Calibri"/>
          <w:i/>
          <w:iCs/>
        </w:rPr>
        <w:t>; ou</w:t>
      </w:r>
    </w:p>
    <w:p w14:paraId="0C182A31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b) quando uma mesma entidade celebre </w:t>
      </w:r>
      <w:r>
        <w:rPr>
          <w:rFonts w:ascii="Calibri" w:eastAsia="Calibri" w:hAnsi="Calibri" w:cs="Calibri"/>
          <w:b/>
          <w:bCs/>
          <w:i/>
          <w:iCs/>
        </w:rPr>
        <w:t>um TCC para fomento a um projeto de Ponto de Cultura e um TCC para fomento a um projeto de Pontão de Cultura</w:t>
      </w:r>
      <w:r>
        <w:rPr>
          <w:rFonts w:ascii="Calibri" w:eastAsia="Calibri" w:hAnsi="Calibri" w:cs="Calibri"/>
          <w:i/>
          <w:iCs/>
        </w:rPr>
        <w:t>;</w:t>
      </w:r>
    </w:p>
    <w:p w14:paraId="161749D5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i/>
          <w:iCs/>
        </w:rPr>
        <w:t>II - uma mesma entidade não poderá celebrar TCC e receber prêmios no âmbito da PNCV em um período de 12 meses, mesmo que selecionada em editais diferentes ou de Entes Federados distintos,</w:t>
      </w:r>
      <w:r>
        <w:rPr>
          <w:rFonts w:ascii="Calibri" w:eastAsia="Calibri" w:hAnsi="Calibri" w:cs="Calibri"/>
          <w:b/>
          <w:bCs/>
          <w:i/>
          <w:iCs/>
        </w:rPr>
        <w:t xml:space="preserve"> salvo quando:</w:t>
      </w:r>
    </w:p>
    <w:p w14:paraId="1678346B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a) já tenha sido premiada em edital da PNCV nos últimos 12 meses e,</w:t>
      </w:r>
      <w:r>
        <w:rPr>
          <w:rFonts w:ascii="Calibri" w:eastAsia="Calibri" w:hAnsi="Calibri" w:cs="Calibri"/>
          <w:b/>
          <w:bCs/>
          <w:i/>
          <w:iCs/>
        </w:rPr>
        <w:t xml:space="preserve"> posteriormente, seja selecionada em edital de fomento a projeto continuado de Ponto ou Pontão de Cultura</w:t>
      </w:r>
      <w:r>
        <w:rPr>
          <w:rFonts w:ascii="Calibri" w:eastAsia="Calibri" w:hAnsi="Calibri" w:cs="Calibri"/>
          <w:i/>
          <w:iCs/>
        </w:rPr>
        <w:t>, para celebração de TCC;</w:t>
      </w:r>
    </w:p>
    <w:p w14:paraId="1C7F9DA7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b) </w:t>
      </w:r>
      <w:r>
        <w:rPr>
          <w:rFonts w:ascii="Calibri" w:eastAsia="Calibri" w:hAnsi="Calibri" w:cs="Calibri"/>
          <w:b/>
          <w:bCs/>
          <w:i/>
          <w:iCs/>
        </w:rPr>
        <w:t>no ato de premiação, a entidade não tenha parcelas para receber e já tenha executado mais da metade do cronograma</w:t>
      </w:r>
      <w:r>
        <w:rPr>
          <w:rFonts w:ascii="Calibri" w:eastAsia="Calibri" w:hAnsi="Calibri" w:cs="Calibri"/>
          <w:i/>
          <w:iCs/>
        </w:rPr>
        <w:t xml:space="preserve"> relacionado à última parcela do TCC ativo; ou</w:t>
      </w:r>
    </w:p>
    <w:p w14:paraId="66CFCCA8" w14:textId="77777777" w:rsidR="00C0365B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1134"/>
        </w:tabs>
        <w:ind w:left="720" w:firstLine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c) em um mesmo edital de premiação da PNCV, após selecionadas todas as entidades concorrentes que não tenham </w:t>
      </w:r>
      <w:r>
        <w:rPr>
          <w:rFonts w:ascii="Calibri" w:eastAsia="Calibri" w:hAnsi="Calibri" w:cs="Calibri"/>
          <w:i/>
          <w:iCs/>
        </w:rPr>
        <w:lastRenderedPageBreak/>
        <w:t xml:space="preserve">firmado TCC nos últimos 12 meses, </w:t>
      </w:r>
      <w:r>
        <w:rPr>
          <w:rFonts w:ascii="Calibri" w:eastAsia="Calibri" w:hAnsi="Calibri" w:cs="Calibri"/>
          <w:b/>
          <w:bCs/>
          <w:i/>
          <w:iCs/>
        </w:rPr>
        <w:t>ainda existam vagas disponíveis</w:t>
      </w:r>
      <w:r>
        <w:rPr>
          <w:rFonts w:ascii="Calibri" w:eastAsia="Calibri" w:hAnsi="Calibri" w:cs="Calibri"/>
          <w:i/>
          <w:iCs/>
        </w:rPr>
        <w:t>.</w:t>
      </w:r>
    </w:p>
    <w:p w14:paraId="4CEB43B0" w14:textId="77777777" w:rsidR="00C0365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</w:p>
    <w:p w14:paraId="78909E09" w14:textId="77777777" w:rsidR="00C0365B" w:rsidRDefault="00000000">
      <w:pPr>
        <w:widowControl w:val="0"/>
        <w:spacing w:before="240" w:after="120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_____________________,________/_______/ _______.</w:t>
      </w:r>
    </w:p>
    <w:p w14:paraId="5F0BBD13" w14:textId="77777777" w:rsidR="00C0365B" w:rsidRDefault="00000000">
      <w:pPr>
        <w:widowControl w:val="0"/>
        <w:spacing w:before="240" w:after="120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</w:t>
      </w:r>
    </w:p>
    <w:p w14:paraId="60615AD7" w14:textId="77777777" w:rsidR="00C0365B" w:rsidRDefault="00000000">
      <w:pPr>
        <w:spacing w:before="240" w:after="120"/>
        <w:ind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11E6DB40" w14:textId="77777777" w:rsidR="00C0365B" w:rsidRDefault="00000000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075E45D" w14:textId="77777777" w:rsidR="00C0365B" w:rsidRDefault="00000000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(Responsável Legal da Entidade Cultural)</w:t>
      </w:r>
    </w:p>
    <w:p w14:paraId="25C6B3E1" w14:textId="77777777" w:rsidR="00C0365B" w:rsidRDefault="00000000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52EF8E63" w14:textId="77777777" w:rsidR="00C0365B" w:rsidRDefault="00C0365B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B364907" w14:textId="77777777" w:rsidR="00C0365B" w:rsidRDefault="00000000">
      <w:pPr>
        <w:ind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</w:rPr>
        <w:t>ASSINATURAS DIGITALIZADAS (ESCANEADAS OU COLADAS) NÃO TERÃO VALIDADE</w:t>
      </w:r>
      <w:r>
        <w:rPr>
          <w:rFonts w:ascii="Calibri" w:eastAsia="Calibri" w:hAnsi="Calibri" w:cs="Calibri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7C9C5BF2" w14:textId="77777777" w:rsidR="00C0365B" w:rsidRDefault="00000000">
      <w:pPr>
        <w:ind w:hanging="2"/>
        <w:jc w:val="both"/>
        <w:rPr>
          <w:sz w:val="24"/>
          <w:szCs w:val="24"/>
        </w:rPr>
      </w:pPr>
      <w:bookmarkStart w:id="0" w:name="_heading=h.5sex9h9j6oc9" w:colFirst="0" w:colLast="0"/>
      <w:bookmarkEnd w:id="0"/>
      <w:r>
        <w:rPr>
          <w:rFonts w:ascii="Calibri" w:eastAsia="Calibri" w:hAnsi="Calibri" w:cs="Calibri"/>
          <w:color w:val="FF0000"/>
        </w:rPr>
        <w:t xml:space="preserve">. </w:t>
      </w:r>
    </w:p>
    <w:p w14:paraId="15803AEB" w14:textId="77777777" w:rsidR="00C0365B" w:rsidRDefault="00C0365B">
      <w:pPr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sectPr w:rsidR="00C03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3B1B" w14:textId="77777777" w:rsidR="006955F2" w:rsidRDefault="006955F2">
      <w:r>
        <w:separator/>
      </w:r>
    </w:p>
  </w:endnote>
  <w:endnote w:type="continuationSeparator" w:id="0">
    <w:p w14:paraId="6232AE1A" w14:textId="77777777" w:rsidR="006955F2" w:rsidRDefault="0069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2E8D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8279" w14:textId="77777777" w:rsidR="00C036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" w:eastAsia="Calibri" w:hAnsi="Calibri" w:cs="Calibri"/>
        <w:b/>
        <w:bCs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separate"/>
    </w:r>
    <w:r w:rsidR="00424A7B">
      <w:rPr>
        <w:rFonts w:ascii="Calibri" w:eastAsia="Calibri" w:hAnsi="Calibri" w:cs="Calibri"/>
        <w:b/>
        <w:bCs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separate"/>
    </w:r>
    <w:r w:rsidR="00424A7B">
      <w:rPr>
        <w:rFonts w:ascii="Calibri" w:eastAsia="Calibri" w:hAnsi="Calibri" w:cs="Calibri"/>
        <w:b/>
        <w:bCs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bCs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5F85C27" wp14:editId="63F42B1E">
          <wp:simplePos x="0" y="0"/>
          <wp:positionH relativeFrom="column">
            <wp:posOffset>115733</wp:posOffset>
          </wp:positionH>
          <wp:positionV relativeFrom="paragraph">
            <wp:posOffset>124023</wp:posOffset>
          </wp:positionV>
          <wp:extent cx="6246429" cy="9275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6429" cy="92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442BAF" w14:textId="77777777" w:rsidR="00C0365B" w:rsidRDefault="00C0365B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iCs/>
        <w:color w:val="FF0000"/>
      </w:rPr>
    </w:pPr>
  </w:p>
  <w:p w14:paraId="234C963E" w14:textId="77777777" w:rsidR="00C0365B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4C2C8ECE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Calibri" w:eastAsia="Calibri" w:hAnsi="Calibri" w:cs="Calibri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B451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0AEB" w14:textId="77777777" w:rsidR="006955F2" w:rsidRDefault="006955F2">
      <w:r>
        <w:separator/>
      </w:r>
    </w:p>
  </w:footnote>
  <w:footnote w:type="continuationSeparator" w:id="0">
    <w:p w14:paraId="22709207" w14:textId="77777777" w:rsidR="006955F2" w:rsidRDefault="0069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8907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8772" w14:textId="77777777" w:rsidR="00C0365B" w:rsidRDefault="00000000">
    <w:pPr>
      <w:spacing w:line="276" w:lineRule="auto"/>
      <w:ind w:hanging="45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6C38E51A" wp14:editId="5DBA0FAE">
          <wp:extent cx="1186751" cy="853881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D4E1D3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BB6F" w14:textId="77777777" w:rsidR="00C0365B" w:rsidRDefault="00C036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4230"/>
    <w:multiLevelType w:val="multilevel"/>
    <w:tmpl w:val="C068DA9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8E65847"/>
    <w:multiLevelType w:val="multilevel"/>
    <w:tmpl w:val="FE2EE25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5457">
    <w:abstractNumId w:val="1"/>
  </w:num>
  <w:num w:numId="2" w16cid:durableId="99511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5B"/>
    <w:rsid w:val="002C0589"/>
    <w:rsid w:val="00424A7B"/>
    <w:rsid w:val="006955F2"/>
    <w:rsid w:val="00C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F94F"/>
  <w15:docId w15:val="{6515F37D-FE96-40FD-A532-C4CDFFE2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acesso-a-informacao/legislacao-e-normativas/instrucao-normativa-minc-no-1-de-7-de-abril-de-2015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ultura/pt-br/acesso-a-informacao/legislacao-e-normativas/instrucao-normativa-minc-no-1-de-7-de-abril-de-2015-1" TargetMode="External"/><Relationship Id="rId14" Type="http://schemas.openxmlformats.org/officeDocument/2006/relationships/header" Target="header3.xml"/></Relationships>
</file>

<file path=word/_rels/fontTable.xml.rels><Relationships xmlns="http://schemas.openxmlformats.org/package/2006/relationships"/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BDRN7DB04mdDhVMgMaDVGsDaw==">CgMxLjAyDmguNXNleDloOWo2b2M5OAByITFidU1pbUtVWkNZZ05MMTQ3b25FN2w3U25SMkJsaUUtRg==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Office</cp:lastModifiedBy>
  <cp:revision>3</cp:revision>
  <dcterms:created xsi:type="dcterms:W3CDTF">2023-08-28T01:24:00Z</dcterms:created>
  <dcterms:modified xsi:type="dcterms:W3CDTF">2026-06-19T22:27:00Z</dcterms:modified>
</cp:coreProperties>
</file>